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C7" w:rsidRDefault="00864FC7" w:rsidP="00864FC7">
      <w:pPr>
        <w:jc w:val="center"/>
        <w:rPr>
          <w:color w:val="0000FF"/>
        </w:rPr>
      </w:pPr>
      <w:r>
        <w:rPr>
          <w:i/>
          <w:iCs/>
          <w:noProof/>
          <w:color w:val="0000FF"/>
        </w:rPr>
        <w:drawing>
          <wp:inline distT="0" distB="0" distL="0" distR="0" wp14:anchorId="13614EEE" wp14:editId="171DBEE1">
            <wp:extent cx="690245" cy="871220"/>
            <wp:effectExtent l="19050" t="0" r="0" b="0"/>
            <wp:docPr id="1" name="Picture 1" descr="cid:image001.png@01CC09A3.BD3C3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09A3.BD3C32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C7" w:rsidRDefault="00864FC7" w:rsidP="00864FC7">
      <w:pPr>
        <w:jc w:val="center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THE GENERAL COURT OF MASSACHUSETTS</w:t>
      </w:r>
    </w:p>
    <w:p w:rsidR="00864FC7" w:rsidRDefault="00864FC7" w:rsidP="00864FC7">
      <w:pPr>
        <w:jc w:val="center"/>
        <w:rPr>
          <w:rFonts w:ascii="Book Antiqua" w:hAnsi="Book Antiqua"/>
          <w:b/>
          <w:bCs/>
          <w:color w:val="000080"/>
          <w:sz w:val="24"/>
          <w:szCs w:val="24"/>
        </w:rPr>
      </w:pPr>
      <w:r>
        <w:rPr>
          <w:rFonts w:ascii="Book Antiqua" w:hAnsi="Book Antiqua"/>
          <w:b/>
          <w:bCs/>
          <w:color w:val="000080"/>
          <w:sz w:val="24"/>
          <w:szCs w:val="24"/>
        </w:rPr>
        <w:t>JOINT COMMITTEE ON EDUCATION</w:t>
      </w:r>
    </w:p>
    <w:p w:rsidR="00864FC7" w:rsidRPr="00230C75" w:rsidRDefault="00864FC7" w:rsidP="00864FC7">
      <w:pPr>
        <w:rPr>
          <w:rFonts w:ascii="Book Antiqua" w:hAnsi="Book Antiqua"/>
          <w:b/>
          <w:bCs/>
          <w:color w:val="000080"/>
          <w:sz w:val="24"/>
          <w:szCs w:val="24"/>
        </w:rPr>
      </w:pPr>
    </w:p>
    <w:p w:rsidR="00864FC7" w:rsidRDefault="00864FC7" w:rsidP="00864F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Student Opportunity Act </w:t>
      </w:r>
    </w:p>
    <w:p w:rsidR="00864FC7" w:rsidRPr="006B39CB" w:rsidRDefault="00864FC7" w:rsidP="00864F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Fact Sheet</w:t>
      </w:r>
    </w:p>
    <w:p w:rsidR="00864FC7" w:rsidRDefault="00864FC7" w:rsidP="00864FC7">
      <w:pPr>
        <w:jc w:val="center"/>
        <w:rPr>
          <w:rFonts w:ascii="Times New Roman" w:hAnsi="Times New Roman" w:cs="Times New Roman"/>
          <w:sz w:val="24"/>
          <w:szCs w:val="36"/>
        </w:rPr>
      </w:pPr>
      <w:r w:rsidRPr="006B39CB">
        <w:rPr>
          <w:rFonts w:ascii="Times New Roman" w:hAnsi="Times New Roman" w:cs="Times New Roman"/>
          <w:sz w:val="24"/>
          <w:szCs w:val="36"/>
        </w:rPr>
        <w:t>September 19, 2019</w:t>
      </w:r>
    </w:p>
    <w:p w:rsidR="00864FC7" w:rsidRPr="006B39CB" w:rsidRDefault="00864FC7" w:rsidP="00864FC7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864FC7" w:rsidRDefault="00864FC7" w:rsidP="00864FC7">
      <w:pPr>
        <w:rPr>
          <w:sz w:val="24"/>
          <w:szCs w:val="24"/>
        </w:rPr>
      </w:pPr>
      <w:r w:rsidRPr="535B7487">
        <w:rPr>
          <w:sz w:val="24"/>
          <w:szCs w:val="24"/>
        </w:rPr>
        <w:t xml:space="preserve">The Student Opportunity Act </w:t>
      </w:r>
      <w:r>
        <w:rPr>
          <w:sz w:val="24"/>
          <w:szCs w:val="24"/>
        </w:rPr>
        <w:t>makes an unprecedented</w:t>
      </w:r>
      <w:r w:rsidRPr="535B7487">
        <w:rPr>
          <w:sz w:val="24"/>
          <w:szCs w:val="24"/>
        </w:rPr>
        <w:t xml:space="preserve"> $1.5 billion</w:t>
      </w:r>
      <w:r>
        <w:rPr>
          <w:sz w:val="24"/>
          <w:szCs w:val="24"/>
        </w:rPr>
        <w:t xml:space="preserve"> new </w:t>
      </w:r>
      <w:r w:rsidRPr="535B7487">
        <w:rPr>
          <w:sz w:val="24"/>
          <w:szCs w:val="24"/>
        </w:rPr>
        <w:t xml:space="preserve">investment in Massachusetts public </w:t>
      </w:r>
      <w:r>
        <w:rPr>
          <w:sz w:val="24"/>
          <w:szCs w:val="24"/>
        </w:rPr>
        <w:t>education</w:t>
      </w:r>
      <w:r w:rsidRPr="535B7487">
        <w:rPr>
          <w:sz w:val="24"/>
          <w:szCs w:val="24"/>
        </w:rPr>
        <w:t xml:space="preserve">, ensuring </w:t>
      </w:r>
      <w:r>
        <w:rPr>
          <w:sz w:val="24"/>
          <w:szCs w:val="24"/>
        </w:rPr>
        <w:t xml:space="preserve">public </w:t>
      </w:r>
      <w:r w:rsidRPr="535B7487">
        <w:rPr>
          <w:sz w:val="24"/>
          <w:szCs w:val="24"/>
        </w:rPr>
        <w:t>school</w:t>
      </w:r>
      <w:r>
        <w:rPr>
          <w:sz w:val="24"/>
          <w:szCs w:val="24"/>
        </w:rPr>
        <w:t>s have</w:t>
      </w:r>
      <w:r w:rsidRPr="535B7487">
        <w:rPr>
          <w:sz w:val="24"/>
          <w:szCs w:val="24"/>
        </w:rPr>
        <w:t xml:space="preserve"> adequate resources </w:t>
      </w:r>
      <w:r>
        <w:rPr>
          <w:sz w:val="24"/>
          <w:szCs w:val="24"/>
        </w:rPr>
        <w:t>to provide a high-quality education to students across the state, regardless of zip code or income level</w:t>
      </w:r>
      <w:r w:rsidRPr="535B7487">
        <w:rPr>
          <w:sz w:val="24"/>
          <w:szCs w:val="24"/>
        </w:rPr>
        <w:t xml:space="preserve">. </w:t>
      </w:r>
      <w:r>
        <w:rPr>
          <w:sz w:val="24"/>
          <w:szCs w:val="24"/>
        </w:rPr>
        <w:t>Assuming inflation, over time the bill could provide an estimated $2.2 billion.</w:t>
      </w:r>
    </w:p>
    <w:p w:rsidR="00864FC7" w:rsidRDefault="00864FC7" w:rsidP="00864FC7">
      <w:pPr>
        <w:rPr>
          <w:sz w:val="24"/>
          <w:szCs w:val="24"/>
        </w:rPr>
      </w:pPr>
      <w:r>
        <w:rPr>
          <w:sz w:val="24"/>
          <w:szCs w:val="24"/>
        </w:rPr>
        <w:t xml:space="preserve">The Student Opportunity Act significantly </w:t>
      </w:r>
      <w:r w:rsidRPr="535B7487">
        <w:rPr>
          <w:sz w:val="24"/>
          <w:szCs w:val="24"/>
        </w:rPr>
        <w:t>h</w:t>
      </w:r>
      <w:bookmarkStart w:id="0" w:name="_GoBack"/>
      <w:bookmarkEnd w:id="0"/>
      <w:r w:rsidRPr="535B7487">
        <w:rPr>
          <w:sz w:val="24"/>
          <w:szCs w:val="24"/>
        </w:rPr>
        <w:t>elp</w:t>
      </w:r>
      <w:r>
        <w:rPr>
          <w:sz w:val="24"/>
          <w:szCs w:val="24"/>
        </w:rPr>
        <w:t>s</w:t>
      </w:r>
      <w:r w:rsidRPr="535B7487">
        <w:rPr>
          <w:sz w:val="24"/>
          <w:szCs w:val="24"/>
        </w:rPr>
        <w:t xml:space="preserve"> school districts</w:t>
      </w:r>
      <w:r>
        <w:rPr>
          <w:sz w:val="24"/>
          <w:szCs w:val="24"/>
        </w:rPr>
        <w:t xml:space="preserve"> that </w:t>
      </w:r>
      <w:r w:rsidRPr="535B7487">
        <w:rPr>
          <w:sz w:val="24"/>
          <w:szCs w:val="24"/>
        </w:rPr>
        <w:t>serve</w:t>
      </w:r>
      <w:r>
        <w:rPr>
          <w:sz w:val="24"/>
          <w:szCs w:val="24"/>
        </w:rPr>
        <w:t xml:space="preserve"> high percentages of low-income students. At the same time, school districts across the Commonwealth will benefit from updates to the existing funding formula, along with </w:t>
      </w:r>
      <w:r w:rsidRPr="535B7487">
        <w:rPr>
          <w:sz w:val="24"/>
          <w:szCs w:val="24"/>
        </w:rPr>
        <w:t xml:space="preserve">increased state </w:t>
      </w:r>
      <w:r>
        <w:rPr>
          <w:sz w:val="24"/>
          <w:szCs w:val="24"/>
        </w:rPr>
        <w:t>investment</w:t>
      </w:r>
      <w:r w:rsidRPr="535B7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535B7487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vital </w:t>
      </w:r>
      <w:r w:rsidRPr="535B7487">
        <w:rPr>
          <w:sz w:val="24"/>
          <w:szCs w:val="24"/>
        </w:rPr>
        <w:t>education aid programs</w:t>
      </w:r>
      <w:r>
        <w:rPr>
          <w:sz w:val="24"/>
          <w:szCs w:val="24"/>
        </w:rPr>
        <w:t xml:space="preserve"> such as transportation, school buildings and special education</w:t>
      </w:r>
      <w:r w:rsidRPr="535B7487">
        <w:rPr>
          <w:sz w:val="24"/>
          <w:szCs w:val="24"/>
        </w:rPr>
        <w:t xml:space="preserve">. </w:t>
      </w:r>
    </w:p>
    <w:p w:rsidR="00864FC7" w:rsidRDefault="00864FC7" w:rsidP="00864F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These n</w:t>
      </w:r>
      <w:r w:rsidRPr="535B7487">
        <w:rPr>
          <w:sz w:val="24"/>
          <w:szCs w:val="24"/>
        </w:rPr>
        <w:t>ew investments</w:t>
      </w:r>
      <w:r>
        <w:rPr>
          <w:sz w:val="24"/>
          <w:szCs w:val="24"/>
        </w:rPr>
        <w:t>,</w:t>
      </w:r>
      <w:r w:rsidRPr="535B7487">
        <w:rPr>
          <w:sz w:val="24"/>
          <w:szCs w:val="24"/>
        </w:rPr>
        <w:t xml:space="preserve"> coupled with policy </w:t>
      </w:r>
      <w:r>
        <w:rPr>
          <w:sz w:val="24"/>
          <w:szCs w:val="24"/>
        </w:rPr>
        <w:t>update</w:t>
      </w:r>
      <w:r w:rsidRPr="535B7487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535B7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Pr="535B7487">
        <w:rPr>
          <w:sz w:val="24"/>
          <w:szCs w:val="24"/>
        </w:rPr>
        <w:t>designed to monitor and measure progress, support effective approaches to closing opportunity gaps, and deliver results for all students.</w:t>
      </w:r>
    </w:p>
    <w:p w:rsidR="00864FC7" w:rsidRPr="009140B0" w:rsidRDefault="00864FC7" w:rsidP="00864FC7">
      <w:pPr>
        <w:rPr>
          <w:sz w:val="24"/>
          <w:szCs w:val="24"/>
        </w:rPr>
      </w:pPr>
      <w:r w:rsidRPr="009140B0">
        <w:rPr>
          <w:sz w:val="24"/>
          <w:szCs w:val="24"/>
        </w:rPr>
        <w:t>Th</w:t>
      </w:r>
      <w:r>
        <w:rPr>
          <w:sz w:val="24"/>
          <w:szCs w:val="24"/>
        </w:rPr>
        <w:t xml:space="preserve">is </w:t>
      </w:r>
      <w:r w:rsidRPr="009140B0">
        <w:rPr>
          <w:sz w:val="24"/>
          <w:szCs w:val="24"/>
        </w:rPr>
        <w:t xml:space="preserve">bill </w:t>
      </w:r>
      <w:r>
        <w:rPr>
          <w:sz w:val="24"/>
          <w:szCs w:val="24"/>
        </w:rPr>
        <w:t xml:space="preserve">modernizes </w:t>
      </w:r>
      <w:r w:rsidRPr="009140B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K-12 </w:t>
      </w:r>
      <w:r w:rsidRPr="009140B0">
        <w:rPr>
          <w:sz w:val="24"/>
          <w:szCs w:val="24"/>
        </w:rPr>
        <w:t xml:space="preserve">education </w:t>
      </w:r>
      <w:r>
        <w:rPr>
          <w:sz w:val="24"/>
          <w:szCs w:val="24"/>
        </w:rPr>
        <w:t xml:space="preserve">funding and policy </w:t>
      </w:r>
      <w:r w:rsidRPr="009140B0">
        <w:rPr>
          <w:sz w:val="24"/>
          <w:szCs w:val="24"/>
        </w:rPr>
        <w:t>landscape in four areas:</w:t>
      </w:r>
    </w:p>
    <w:p w:rsidR="00864FC7" w:rsidRPr="009140B0" w:rsidRDefault="00864FC7" w:rsidP="00864F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535B7487">
        <w:rPr>
          <w:b/>
          <w:bCs/>
          <w:sz w:val="24"/>
          <w:szCs w:val="24"/>
        </w:rPr>
        <w:t>Fully implements the recommendations of the Foundation Budget Review Commission (FBRC)</w:t>
      </w:r>
      <w:r w:rsidRPr="535B7487">
        <w:rPr>
          <w:sz w:val="24"/>
          <w:szCs w:val="24"/>
        </w:rPr>
        <w:t xml:space="preserve"> </w:t>
      </w:r>
      <w:r w:rsidRPr="535B7487">
        <w:rPr>
          <w:b/>
          <w:bCs/>
          <w:sz w:val="24"/>
          <w:szCs w:val="24"/>
        </w:rPr>
        <w:t>to ensure that the school funding formula provides adequate and equitable funding to all districts across the state</w:t>
      </w:r>
      <w:r w:rsidRPr="535B748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535B7487">
        <w:rPr>
          <w:sz w:val="24"/>
          <w:szCs w:val="24"/>
        </w:rPr>
        <w:t>rovides an estimated $1.4 billion in new Chapter 70 aid</w:t>
      </w:r>
      <w:r>
        <w:rPr>
          <w:sz w:val="24"/>
          <w:szCs w:val="24"/>
        </w:rPr>
        <w:t xml:space="preserve"> over and above inflation </w:t>
      </w:r>
      <w:r w:rsidRPr="535B7487">
        <w:rPr>
          <w:sz w:val="24"/>
          <w:szCs w:val="24"/>
        </w:rPr>
        <w:t>when fully implemented over the next seven years. The foundation budget is updated as follows:</w:t>
      </w:r>
    </w:p>
    <w:p w:rsidR="00864FC7" w:rsidRPr="004E554E" w:rsidRDefault="00864FC7" w:rsidP="00864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Estimates s</w:t>
      </w:r>
      <w:r w:rsidRPr="535B7487">
        <w:rPr>
          <w:sz w:val="24"/>
          <w:szCs w:val="24"/>
        </w:rPr>
        <w:t xml:space="preserve">chool districts’ </w:t>
      </w:r>
      <w:r>
        <w:rPr>
          <w:sz w:val="24"/>
          <w:szCs w:val="24"/>
        </w:rPr>
        <w:t xml:space="preserve">employee and retiree </w:t>
      </w:r>
      <w:r w:rsidRPr="535B7487">
        <w:rPr>
          <w:b/>
          <w:bCs/>
          <w:sz w:val="24"/>
          <w:szCs w:val="24"/>
        </w:rPr>
        <w:t xml:space="preserve">health care </w:t>
      </w:r>
      <w:r w:rsidRPr="535B7487">
        <w:rPr>
          <w:sz w:val="24"/>
          <w:szCs w:val="24"/>
        </w:rPr>
        <w:t xml:space="preserve">costs using </w:t>
      </w:r>
      <w:r>
        <w:rPr>
          <w:sz w:val="24"/>
          <w:szCs w:val="24"/>
        </w:rPr>
        <w:t xml:space="preserve">up to date </w:t>
      </w:r>
      <w:r w:rsidRPr="535B7487">
        <w:rPr>
          <w:sz w:val="24"/>
          <w:szCs w:val="24"/>
        </w:rPr>
        <w:t>health insurance trend data collected by the state’s Group Insurance Commission (GIC).</w:t>
      </w:r>
    </w:p>
    <w:p w:rsidR="00864FC7" w:rsidRPr="004E554E" w:rsidRDefault="00864FC7" w:rsidP="00864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Increases s</w:t>
      </w:r>
      <w:r w:rsidRPr="003B1797">
        <w:rPr>
          <w:b/>
          <w:sz w:val="24"/>
          <w:szCs w:val="24"/>
        </w:rPr>
        <w:t>pecial education</w:t>
      </w:r>
      <w:r>
        <w:rPr>
          <w:sz w:val="24"/>
          <w:szCs w:val="24"/>
        </w:rPr>
        <w:t xml:space="preserve"> enrollment and cost assumptions to more accurately reflect district enrollment</w:t>
      </w:r>
      <w:r w:rsidRPr="004E554E">
        <w:rPr>
          <w:sz w:val="24"/>
          <w:szCs w:val="24"/>
        </w:rPr>
        <w:t>.</w:t>
      </w:r>
    </w:p>
    <w:p w:rsidR="00864FC7" w:rsidRPr="004E554E" w:rsidRDefault="00864FC7" w:rsidP="00864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Increases funding for </w:t>
      </w:r>
      <w:r w:rsidRPr="003B1797">
        <w:rPr>
          <w:b/>
          <w:sz w:val="24"/>
          <w:szCs w:val="24"/>
        </w:rPr>
        <w:t>English learners</w:t>
      </w:r>
      <w:r>
        <w:rPr>
          <w:b/>
          <w:sz w:val="24"/>
          <w:szCs w:val="24"/>
        </w:rPr>
        <w:t xml:space="preserve"> (EL) </w:t>
      </w:r>
      <w:r w:rsidRPr="004E554E">
        <w:rPr>
          <w:sz w:val="24"/>
          <w:szCs w:val="24"/>
        </w:rPr>
        <w:t xml:space="preserve">that is differentiated by grade level to reflect the greater resources required to educate </w:t>
      </w:r>
      <w:r>
        <w:rPr>
          <w:sz w:val="24"/>
          <w:szCs w:val="24"/>
        </w:rPr>
        <w:t xml:space="preserve">our older EL </w:t>
      </w:r>
      <w:r w:rsidRPr="004E554E">
        <w:rPr>
          <w:sz w:val="24"/>
          <w:szCs w:val="24"/>
        </w:rPr>
        <w:t>students.</w:t>
      </w:r>
    </w:p>
    <w:p w:rsidR="00864FC7" w:rsidRDefault="00864FC7" w:rsidP="00864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Addresses the needs of districts educating high concentrations of </w:t>
      </w:r>
      <w:r>
        <w:rPr>
          <w:b/>
          <w:bCs/>
          <w:sz w:val="24"/>
          <w:szCs w:val="24"/>
        </w:rPr>
        <w:t xml:space="preserve">students from low-income households </w:t>
      </w:r>
      <w:r>
        <w:rPr>
          <w:sz w:val="24"/>
          <w:szCs w:val="24"/>
        </w:rPr>
        <w:t>by:</w:t>
      </w:r>
    </w:p>
    <w:p w:rsidR="00864FC7" w:rsidRPr="00470E96" w:rsidRDefault="00864FC7" w:rsidP="00864FC7">
      <w:pPr>
        <w:pStyle w:val="ListParagraph"/>
        <w:numPr>
          <w:ilvl w:val="1"/>
          <w:numId w:val="2"/>
        </w:numPr>
        <w:spacing w:line="252" w:lineRule="auto"/>
        <w:rPr>
          <w:sz w:val="24"/>
          <w:szCs w:val="24"/>
        </w:rPr>
      </w:pPr>
      <w:r w:rsidRPr="00470E96">
        <w:rPr>
          <w:sz w:val="24"/>
          <w:szCs w:val="24"/>
        </w:rPr>
        <w:t xml:space="preserve">Providing </w:t>
      </w:r>
      <w:r>
        <w:rPr>
          <w:sz w:val="24"/>
          <w:szCs w:val="24"/>
        </w:rPr>
        <w:t xml:space="preserve">additional funding based </w:t>
      </w:r>
      <w:r w:rsidRPr="00470E96">
        <w:rPr>
          <w:sz w:val="24"/>
          <w:szCs w:val="24"/>
        </w:rPr>
        <w:t xml:space="preserve">on the share of low-income students in each district; districts educating the largest </w:t>
      </w:r>
      <w:r>
        <w:rPr>
          <w:sz w:val="24"/>
          <w:szCs w:val="24"/>
        </w:rPr>
        <w:t xml:space="preserve">percentage </w:t>
      </w:r>
      <w:r w:rsidRPr="00470E96">
        <w:rPr>
          <w:sz w:val="24"/>
          <w:szCs w:val="24"/>
        </w:rPr>
        <w:t xml:space="preserve">of low-income students will receive </w:t>
      </w:r>
      <w:r>
        <w:rPr>
          <w:sz w:val="24"/>
          <w:szCs w:val="24"/>
        </w:rPr>
        <w:t xml:space="preserve">an additional increment equal to </w:t>
      </w:r>
      <w:r w:rsidRPr="00470E96">
        <w:rPr>
          <w:sz w:val="24"/>
          <w:szCs w:val="24"/>
        </w:rPr>
        <w:t>10</w:t>
      </w:r>
      <w:r>
        <w:rPr>
          <w:sz w:val="24"/>
          <w:szCs w:val="24"/>
        </w:rPr>
        <w:t>0% of the base foundation;</w:t>
      </w:r>
    </w:p>
    <w:p w:rsidR="00864FC7" w:rsidRPr="00470E96" w:rsidRDefault="00864FC7" w:rsidP="00864FC7">
      <w:pPr>
        <w:pStyle w:val="ListParagraph"/>
        <w:numPr>
          <w:ilvl w:val="1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Returning the definition of low-income to </w:t>
      </w:r>
      <w:r w:rsidRPr="00470E96">
        <w:rPr>
          <w:sz w:val="24"/>
          <w:szCs w:val="24"/>
        </w:rPr>
        <w:t xml:space="preserve">185% of the Federal Poverty Level, as opposed to the 133% </w:t>
      </w:r>
      <w:r>
        <w:rPr>
          <w:sz w:val="24"/>
          <w:szCs w:val="24"/>
        </w:rPr>
        <w:t xml:space="preserve">level </w:t>
      </w:r>
      <w:r w:rsidRPr="00470E96">
        <w:rPr>
          <w:sz w:val="24"/>
          <w:szCs w:val="24"/>
        </w:rPr>
        <w:t xml:space="preserve">that has been </w:t>
      </w:r>
      <w:r>
        <w:rPr>
          <w:sz w:val="24"/>
          <w:szCs w:val="24"/>
        </w:rPr>
        <w:t xml:space="preserve">used in recent </w:t>
      </w:r>
      <w:r w:rsidRPr="00470E96">
        <w:rPr>
          <w:sz w:val="24"/>
          <w:szCs w:val="24"/>
        </w:rPr>
        <w:t>years.</w:t>
      </w:r>
    </w:p>
    <w:p w:rsidR="00864FC7" w:rsidRPr="009140B0" w:rsidRDefault="00864FC7" w:rsidP="00864FC7">
      <w:pPr>
        <w:spacing w:after="0"/>
        <w:rPr>
          <w:b/>
          <w:sz w:val="24"/>
          <w:szCs w:val="24"/>
        </w:rPr>
      </w:pPr>
    </w:p>
    <w:p w:rsidR="00864FC7" w:rsidRDefault="00864FC7" w:rsidP="00864FC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Provides additional </w:t>
      </w:r>
      <w:r w:rsidRPr="535B7487">
        <w:rPr>
          <w:b/>
          <w:bCs/>
          <w:sz w:val="24"/>
          <w:szCs w:val="24"/>
        </w:rPr>
        <w:t xml:space="preserve">state </w:t>
      </w:r>
      <w:r>
        <w:rPr>
          <w:b/>
          <w:bCs/>
          <w:sz w:val="24"/>
          <w:szCs w:val="24"/>
        </w:rPr>
        <w:t xml:space="preserve">financial </w:t>
      </w:r>
      <w:r w:rsidRPr="535B7487">
        <w:rPr>
          <w:b/>
          <w:bCs/>
          <w:sz w:val="24"/>
          <w:szCs w:val="24"/>
        </w:rPr>
        <w:t xml:space="preserve">support </w:t>
      </w:r>
      <w:r>
        <w:rPr>
          <w:b/>
          <w:bCs/>
          <w:sz w:val="24"/>
          <w:szCs w:val="24"/>
        </w:rPr>
        <w:t xml:space="preserve">to </w:t>
      </w:r>
      <w:r w:rsidRPr="535B7487">
        <w:rPr>
          <w:b/>
          <w:bCs/>
          <w:sz w:val="24"/>
          <w:szCs w:val="24"/>
        </w:rPr>
        <w:t xml:space="preserve">help public schools and communities </w:t>
      </w:r>
      <w:r>
        <w:rPr>
          <w:b/>
          <w:bCs/>
          <w:sz w:val="24"/>
          <w:szCs w:val="24"/>
        </w:rPr>
        <w:t>deliver a high-quality education to every student by:</w:t>
      </w:r>
      <w:r w:rsidRPr="535B7487">
        <w:rPr>
          <w:b/>
          <w:bCs/>
          <w:sz w:val="24"/>
          <w:szCs w:val="24"/>
        </w:rPr>
        <w:t xml:space="preserve"> </w:t>
      </w:r>
    </w:p>
    <w:p w:rsidR="00864FC7" w:rsidRPr="000D1367" w:rsidRDefault="00864FC7" w:rsidP="00864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Increasing foundation rates for </w:t>
      </w:r>
      <w:r>
        <w:rPr>
          <w:b/>
          <w:sz w:val="24"/>
          <w:szCs w:val="24"/>
        </w:rPr>
        <w:t>guidance and psychological services</w:t>
      </w:r>
      <w:r>
        <w:rPr>
          <w:sz w:val="24"/>
          <w:szCs w:val="24"/>
        </w:rPr>
        <w:t xml:space="preserve"> that will support expanded social–emotional supports and mental health services.</w:t>
      </w:r>
    </w:p>
    <w:p w:rsidR="00864FC7" w:rsidRDefault="00864FC7" w:rsidP="00864FC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0D1367">
        <w:rPr>
          <w:bCs/>
          <w:sz w:val="24"/>
          <w:szCs w:val="24"/>
        </w:rPr>
        <w:t>Full</w:t>
      </w:r>
      <w:r>
        <w:rPr>
          <w:bCs/>
          <w:sz w:val="24"/>
          <w:szCs w:val="24"/>
        </w:rPr>
        <w:t>y</w:t>
      </w:r>
      <w:r w:rsidRPr="000D1367">
        <w:rPr>
          <w:bCs/>
          <w:sz w:val="24"/>
          <w:szCs w:val="24"/>
        </w:rPr>
        <w:t xml:space="preserve"> funding </w:t>
      </w:r>
      <w:r>
        <w:rPr>
          <w:b/>
          <w:bCs/>
          <w:sz w:val="24"/>
          <w:szCs w:val="24"/>
        </w:rPr>
        <w:t>c</w:t>
      </w:r>
      <w:r w:rsidRPr="535B7487">
        <w:rPr>
          <w:b/>
          <w:bCs/>
          <w:sz w:val="24"/>
          <w:szCs w:val="24"/>
        </w:rPr>
        <w:t>harter tuition reimbursements</w:t>
      </w:r>
      <w:r w:rsidRPr="535B7487">
        <w:rPr>
          <w:sz w:val="24"/>
          <w:szCs w:val="24"/>
        </w:rPr>
        <w:t xml:space="preserve">, which provide transitional aid to help districts when students leave to attend charter schools, </w:t>
      </w:r>
      <w:r>
        <w:rPr>
          <w:sz w:val="24"/>
          <w:szCs w:val="24"/>
        </w:rPr>
        <w:t xml:space="preserve">within a </w:t>
      </w:r>
      <w:r w:rsidRPr="535B7487">
        <w:rPr>
          <w:sz w:val="24"/>
          <w:szCs w:val="24"/>
        </w:rPr>
        <w:t>three year</w:t>
      </w:r>
      <w:r>
        <w:rPr>
          <w:sz w:val="24"/>
          <w:szCs w:val="24"/>
        </w:rPr>
        <w:t xml:space="preserve"> timetable</w:t>
      </w:r>
      <w:r w:rsidRPr="535B7487">
        <w:rPr>
          <w:sz w:val="24"/>
          <w:szCs w:val="24"/>
        </w:rPr>
        <w:t>.</w:t>
      </w:r>
    </w:p>
    <w:p w:rsidR="00864FC7" w:rsidRDefault="00864FC7" w:rsidP="00864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Expanding the </w:t>
      </w:r>
      <w:r w:rsidRPr="001E6C3E">
        <w:rPr>
          <w:b/>
          <w:sz w:val="24"/>
          <w:szCs w:val="24"/>
        </w:rPr>
        <w:t>s</w:t>
      </w:r>
      <w:r w:rsidRPr="535B7487">
        <w:rPr>
          <w:b/>
          <w:bCs/>
          <w:sz w:val="24"/>
          <w:szCs w:val="24"/>
        </w:rPr>
        <w:t>pecial education circuit breaker</w:t>
      </w:r>
      <w:r w:rsidRPr="535B7487">
        <w:rPr>
          <w:sz w:val="24"/>
          <w:szCs w:val="24"/>
        </w:rPr>
        <w:t xml:space="preserve">, which reimburses districts for extraordinary special education costs, </w:t>
      </w:r>
      <w:r>
        <w:rPr>
          <w:sz w:val="24"/>
          <w:szCs w:val="24"/>
        </w:rPr>
        <w:t>to include</w:t>
      </w:r>
      <w:r w:rsidRPr="535B7487">
        <w:rPr>
          <w:sz w:val="24"/>
          <w:szCs w:val="24"/>
        </w:rPr>
        <w:t xml:space="preserve"> transportation costs in addition to instructional costs</w:t>
      </w:r>
      <w:r>
        <w:rPr>
          <w:sz w:val="24"/>
          <w:szCs w:val="24"/>
        </w:rPr>
        <w:t xml:space="preserve">, </w:t>
      </w:r>
      <w:r w:rsidRPr="535B7487">
        <w:rPr>
          <w:sz w:val="24"/>
          <w:szCs w:val="24"/>
        </w:rPr>
        <w:t xml:space="preserve">phased in over four years. </w:t>
      </w:r>
    </w:p>
    <w:p w:rsidR="00864FC7" w:rsidRPr="009140B0" w:rsidRDefault="00864FC7" w:rsidP="00864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Lifting t</w:t>
      </w:r>
      <w:r w:rsidRPr="535B7487">
        <w:rPr>
          <w:sz w:val="24"/>
          <w:szCs w:val="24"/>
        </w:rPr>
        <w:t xml:space="preserve">he annual cap on </w:t>
      </w:r>
      <w:r w:rsidRPr="535B7487">
        <w:rPr>
          <w:b/>
          <w:bCs/>
          <w:sz w:val="24"/>
          <w:szCs w:val="24"/>
        </w:rPr>
        <w:t>Massachusetts School Building Authority (MSBA)</w:t>
      </w:r>
      <w:r w:rsidRPr="535B7487">
        <w:rPr>
          <w:sz w:val="24"/>
          <w:szCs w:val="24"/>
        </w:rPr>
        <w:t xml:space="preserve"> spending </w:t>
      </w:r>
      <w:r>
        <w:rPr>
          <w:sz w:val="24"/>
          <w:szCs w:val="24"/>
        </w:rPr>
        <w:t xml:space="preserve">for </w:t>
      </w:r>
      <w:r w:rsidRPr="535B7487">
        <w:rPr>
          <w:sz w:val="24"/>
          <w:szCs w:val="24"/>
        </w:rPr>
        <w:t>school building construction</w:t>
      </w:r>
      <w:r>
        <w:rPr>
          <w:sz w:val="24"/>
          <w:szCs w:val="24"/>
        </w:rPr>
        <w:t>/renovation</w:t>
      </w:r>
      <w:r w:rsidRPr="535B7487">
        <w:rPr>
          <w:sz w:val="24"/>
          <w:szCs w:val="24"/>
        </w:rPr>
        <w:t xml:space="preserve"> by $150 million </w:t>
      </w:r>
      <w:r>
        <w:rPr>
          <w:sz w:val="24"/>
          <w:szCs w:val="24"/>
        </w:rPr>
        <w:t xml:space="preserve">(from $600 million to </w:t>
      </w:r>
      <w:r w:rsidRPr="535B7487">
        <w:rPr>
          <w:sz w:val="24"/>
          <w:szCs w:val="24"/>
        </w:rPr>
        <w:t>$750 million</w:t>
      </w:r>
      <w:r>
        <w:rPr>
          <w:sz w:val="24"/>
          <w:szCs w:val="24"/>
        </w:rPr>
        <w:t>)</w:t>
      </w:r>
      <w:r w:rsidRPr="535B7487">
        <w:rPr>
          <w:sz w:val="24"/>
          <w:szCs w:val="24"/>
        </w:rPr>
        <w:t xml:space="preserve">, enabling more projects </w:t>
      </w:r>
      <w:r>
        <w:rPr>
          <w:sz w:val="24"/>
          <w:szCs w:val="24"/>
        </w:rPr>
        <w:t xml:space="preserve">across the state </w:t>
      </w:r>
      <w:r w:rsidRPr="535B7487">
        <w:rPr>
          <w:sz w:val="24"/>
          <w:szCs w:val="24"/>
        </w:rPr>
        <w:t>to be accepted into the</w:t>
      </w:r>
      <w:r>
        <w:rPr>
          <w:sz w:val="24"/>
          <w:szCs w:val="24"/>
        </w:rPr>
        <w:t xml:space="preserve"> MSBA </w:t>
      </w:r>
      <w:r w:rsidRPr="535B7487">
        <w:rPr>
          <w:sz w:val="24"/>
          <w:szCs w:val="24"/>
        </w:rPr>
        <w:t>funding pipeline.</w:t>
      </w:r>
    </w:p>
    <w:p w:rsidR="00864FC7" w:rsidRPr="009140B0" w:rsidRDefault="00864FC7" w:rsidP="00864FC7">
      <w:pPr>
        <w:pStyle w:val="ListParagraph"/>
        <w:spacing w:after="0"/>
        <w:rPr>
          <w:sz w:val="24"/>
          <w:szCs w:val="24"/>
        </w:rPr>
      </w:pPr>
    </w:p>
    <w:p w:rsidR="00864FC7" w:rsidRPr="009140B0" w:rsidRDefault="00864FC7" w:rsidP="00864F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35B7487">
        <w:rPr>
          <w:b/>
          <w:bCs/>
          <w:sz w:val="24"/>
          <w:szCs w:val="24"/>
        </w:rPr>
        <w:t xml:space="preserve">Implements policy </w:t>
      </w:r>
      <w:r>
        <w:rPr>
          <w:b/>
          <w:bCs/>
          <w:sz w:val="24"/>
          <w:szCs w:val="24"/>
        </w:rPr>
        <w:t>update</w:t>
      </w:r>
      <w:r w:rsidRPr="535B7487">
        <w:rPr>
          <w:b/>
          <w:bCs/>
          <w:sz w:val="24"/>
          <w:szCs w:val="24"/>
        </w:rPr>
        <w:t xml:space="preserve">s designed to maximize the impact of new funding in improving student outcomes and closing </w:t>
      </w:r>
      <w:r>
        <w:rPr>
          <w:b/>
          <w:bCs/>
          <w:sz w:val="24"/>
          <w:szCs w:val="24"/>
        </w:rPr>
        <w:t>opportunity</w:t>
      </w:r>
      <w:r w:rsidRPr="535B7487">
        <w:rPr>
          <w:b/>
          <w:bCs/>
          <w:sz w:val="24"/>
          <w:szCs w:val="24"/>
        </w:rPr>
        <w:t xml:space="preserve"> gaps.</w:t>
      </w:r>
    </w:p>
    <w:p w:rsidR="00864FC7" w:rsidRPr="004E389C" w:rsidRDefault="00864FC7" w:rsidP="00864FC7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Establishes the </w:t>
      </w:r>
      <w:r w:rsidRPr="003B1797">
        <w:rPr>
          <w:b/>
          <w:sz w:val="24"/>
          <w:szCs w:val="24"/>
        </w:rPr>
        <w:t>21</w:t>
      </w:r>
      <w:r w:rsidRPr="003B1797">
        <w:rPr>
          <w:b/>
          <w:sz w:val="24"/>
          <w:szCs w:val="24"/>
          <w:vertAlign w:val="superscript"/>
        </w:rPr>
        <w:t>st</w:t>
      </w:r>
      <w:r w:rsidRPr="003B1797">
        <w:rPr>
          <w:b/>
          <w:sz w:val="24"/>
          <w:szCs w:val="24"/>
        </w:rPr>
        <w:t xml:space="preserve"> Century Education</w:t>
      </w:r>
      <w:r>
        <w:rPr>
          <w:b/>
          <w:sz w:val="24"/>
          <w:szCs w:val="24"/>
        </w:rPr>
        <w:t xml:space="preserve"> Trust</w:t>
      </w:r>
      <w:r w:rsidRPr="003B1797">
        <w:rPr>
          <w:b/>
          <w:sz w:val="24"/>
          <w:szCs w:val="24"/>
        </w:rPr>
        <w:t xml:space="preserve"> Fund</w:t>
      </w:r>
      <w:r>
        <w:rPr>
          <w:sz w:val="24"/>
          <w:szCs w:val="24"/>
        </w:rPr>
        <w:t xml:space="preserve"> to provide flexible funding to districts and schools pursuing creative approaches to student learning and district improvement.</w:t>
      </w:r>
      <w:r w:rsidDel="00AF346B">
        <w:rPr>
          <w:sz w:val="24"/>
          <w:szCs w:val="24"/>
        </w:rPr>
        <w:t xml:space="preserve"> </w:t>
      </w:r>
    </w:p>
    <w:p w:rsidR="00864FC7" w:rsidRPr="009140B0" w:rsidRDefault="00864FC7" w:rsidP="00864F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School districts must develop and make publicly available </w:t>
      </w:r>
      <w:r w:rsidRPr="003B1797">
        <w:rPr>
          <w:b/>
          <w:sz w:val="24"/>
          <w:szCs w:val="24"/>
        </w:rPr>
        <w:t>plans for closing opportunity gaps</w:t>
      </w:r>
      <w:r>
        <w:rPr>
          <w:sz w:val="24"/>
          <w:szCs w:val="24"/>
        </w:rPr>
        <w:t>. These plans will include specific goals and metrics to track success.</w:t>
      </w:r>
    </w:p>
    <w:p w:rsidR="00864FC7" w:rsidRDefault="00864FC7" w:rsidP="00864F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4110">
        <w:rPr>
          <w:sz w:val="24"/>
          <w:szCs w:val="24"/>
        </w:rPr>
        <w:t>The Secretary of Education</w:t>
      </w:r>
      <w:r>
        <w:rPr>
          <w:sz w:val="24"/>
          <w:szCs w:val="24"/>
        </w:rPr>
        <w:t xml:space="preserve"> will collect and publish data on </w:t>
      </w:r>
      <w:r w:rsidRPr="003B1797">
        <w:rPr>
          <w:b/>
          <w:sz w:val="24"/>
          <w:szCs w:val="24"/>
        </w:rPr>
        <w:t>student preparedness in each district and high school for post-graduate success</w:t>
      </w:r>
      <w:r>
        <w:rPr>
          <w:sz w:val="24"/>
          <w:szCs w:val="24"/>
        </w:rPr>
        <w:t xml:space="preserve"> in college and the workforce.  </w:t>
      </w:r>
    </w:p>
    <w:p w:rsidR="00864FC7" w:rsidRDefault="00864FC7" w:rsidP="00864F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Establishes a </w:t>
      </w:r>
      <w:r w:rsidRPr="003B1797">
        <w:rPr>
          <w:b/>
          <w:sz w:val="24"/>
          <w:szCs w:val="24"/>
        </w:rPr>
        <w:t>Data Advisory Commission</w:t>
      </w:r>
      <w:r>
        <w:rPr>
          <w:sz w:val="24"/>
          <w:szCs w:val="24"/>
        </w:rPr>
        <w:t xml:space="preserve"> to help improve the use of data at the state, district, and school levels to inform strategies that strengthen teaching, learning and resource allocation.</w:t>
      </w:r>
    </w:p>
    <w:p w:rsidR="00864FC7" w:rsidRPr="009140B0" w:rsidRDefault="00864FC7" w:rsidP="00864FC7">
      <w:pPr>
        <w:pStyle w:val="ListParagraph"/>
        <w:ind w:left="1440"/>
        <w:rPr>
          <w:sz w:val="24"/>
          <w:szCs w:val="24"/>
        </w:rPr>
      </w:pPr>
    </w:p>
    <w:p w:rsidR="00864FC7" w:rsidRPr="009140B0" w:rsidRDefault="00864FC7" w:rsidP="00864F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Identifies education policy areas requiring further analysis.</w:t>
      </w:r>
    </w:p>
    <w:p w:rsidR="00864FC7" w:rsidRPr="009140B0" w:rsidRDefault="00864FC7" w:rsidP="00864FC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E389C">
        <w:rPr>
          <w:sz w:val="24"/>
          <w:szCs w:val="24"/>
        </w:rPr>
        <w:lastRenderedPageBreak/>
        <w:t xml:space="preserve">The Department of </w:t>
      </w:r>
      <w:r>
        <w:rPr>
          <w:sz w:val="24"/>
          <w:szCs w:val="24"/>
        </w:rPr>
        <w:t>R</w:t>
      </w:r>
      <w:r w:rsidRPr="004E389C">
        <w:rPr>
          <w:sz w:val="24"/>
          <w:szCs w:val="24"/>
        </w:rPr>
        <w:t xml:space="preserve">evenue (DOR) and DESE are </w:t>
      </w:r>
      <w:r w:rsidRPr="535B7487">
        <w:rPr>
          <w:sz w:val="24"/>
          <w:szCs w:val="24"/>
        </w:rPr>
        <w:t>directed to analyze the</w:t>
      </w:r>
      <w:r>
        <w:rPr>
          <w:sz w:val="24"/>
          <w:szCs w:val="24"/>
        </w:rPr>
        <w:t xml:space="preserve"> method of </w:t>
      </w:r>
      <w:r w:rsidRPr="0078591D">
        <w:rPr>
          <w:b/>
          <w:sz w:val="24"/>
          <w:szCs w:val="24"/>
        </w:rPr>
        <w:t>determining required local contributions</w:t>
      </w:r>
      <w:r>
        <w:rPr>
          <w:sz w:val="24"/>
          <w:szCs w:val="24"/>
        </w:rPr>
        <w:t xml:space="preserve"> in the Chapter 70 formula for the purpose of improving equity, predictability and accuracy</w:t>
      </w:r>
      <w:r w:rsidRPr="535B7487">
        <w:rPr>
          <w:sz w:val="24"/>
          <w:szCs w:val="24"/>
        </w:rPr>
        <w:t xml:space="preserve">. </w:t>
      </w:r>
    </w:p>
    <w:p w:rsidR="00864FC7" w:rsidRPr="009140B0" w:rsidRDefault="00864FC7" w:rsidP="00864F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Establishes a </w:t>
      </w:r>
      <w:r w:rsidRPr="535B7487">
        <w:rPr>
          <w:b/>
          <w:bCs/>
          <w:sz w:val="24"/>
          <w:szCs w:val="24"/>
        </w:rPr>
        <w:t>Rural Schools Commission</w:t>
      </w:r>
      <w:r w:rsidRPr="535B7487">
        <w:rPr>
          <w:sz w:val="24"/>
          <w:szCs w:val="24"/>
        </w:rPr>
        <w:t xml:space="preserve"> to investigate the unique challenges facing rural and regional school districts with low and declining enrollment</w:t>
      </w:r>
      <w:r>
        <w:rPr>
          <w:sz w:val="24"/>
          <w:szCs w:val="24"/>
        </w:rPr>
        <w:t>. The Commission will</w:t>
      </w:r>
      <w:r w:rsidRPr="535B7487">
        <w:rPr>
          <w:sz w:val="24"/>
          <w:szCs w:val="24"/>
        </w:rPr>
        <w:t xml:space="preserve"> make recommendations for further </w:t>
      </w:r>
      <w:r>
        <w:rPr>
          <w:sz w:val="24"/>
          <w:szCs w:val="24"/>
        </w:rPr>
        <w:t>update</w:t>
      </w:r>
      <w:r w:rsidRPr="535B7487">
        <w:rPr>
          <w:sz w:val="24"/>
          <w:szCs w:val="24"/>
        </w:rPr>
        <w:t xml:space="preserve">s to help </w:t>
      </w:r>
      <w:r>
        <w:rPr>
          <w:sz w:val="24"/>
          <w:szCs w:val="24"/>
        </w:rPr>
        <w:t xml:space="preserve">impacted </w:t>
      </w:r>
      <w:r w:rsidRPr="535B7487">
        <w:rPr>
          <w:sz w:val="24"/>
          <w:szCs w:val="24"/>
        </w:rPr>
        <w:t>districts and communities.</w:t>
      </w:r>
    </w:p>
    <w:p w:rsidR="0086784B" w:rsidRDefault="0086784B"/>
    <w:sectPr w:rsidR="0086784B" w:rsidSect="00263EC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C3" w:rsidRDefault="006007C3">
      <w:pPr>
        <w:spacing w:after="0" w:line="240" w:lineRule="auto"/>
      </w:pPr>
      <w:r>
        <w:separator/>
      </w:r>
    </w:p>
  </w:endnote>
  <w:endnote w:type="continuationSeparator" w:id="0">
    <w:p w:rsidR="006007C3" w:rsidRDefault="006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3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2DC" w:rsidRPr="0039298E" w:rsidRDefault="00864FC7" w:rsidP="006F52DC">
        <w:pPr>
          <w:pStyle w:val="Footer"/>
          <w:pBdr>
            <w:top w:val="single" w:sz="4" w:space="1" w:color="auto"/>
          </w:pBdr>
          <w:jc w:val="right"/>
          <w:rPr>
            <w:b/>
            <w:sz w:val="16"/>
            <w:szCs w:val="16"/>
          </w:rPr>
        </w:pPr>
        <w:r>
          <w:rPr>
            <w:noProof/>
          </w:rPr>
          <w:tab/>
        </w:r>
        <w:r>
          <w:rPr>
            <w:noProof/>
          </w:rPr>
          <w:tab/>
        </w:r>
        <w:r w:rsidRPr="0039298E">
          <w:rPr>
            <w:b/>
            <w:sz w:val="16"/>
            <w:szCs w:val="16"/>
          </w:rPr>
          <w:t xml:space="preserve">Student Opportunity Act </w:t>
        </w:r>
        <w:r>
          <w:rPr>
            <w:b/>
            <w:sz w:val="16"/>
            <w:szCs w:val="16"/>
          </w:rPr>
          <w:t>Fact Sheet</w:t>
        </w:r>
      </w:p>
      <w:p w:rsidR="006F52DC" w:rsidRPr="0039298E" w:rsidRDefault="00864FC7" w:rsidP="006F52DC">
        <w:pPr>
          <w:pStyle w:val="Footer"/>
          <w:jc w:val="right"/>
          <w:rPr>
            <w:b/>
            <w:i/>
            <w:sz w:val="16"/>
            <w:szCs w:val="16"/>
          </w:rPr>
        </w:pPr>
        <w:r w:rsidRPr="0039298E">
          <w:rPr>
            <w:b/>
            <w:i/>
            <w:sz w:val="16"/>
            <w:szCs w:val="16"/>
          </w:rPr>
          <w:t>September 2019</w:t>
        </w:r>
      </w:p>
      <w:p w:rsidR="006F52DC" w:rsidRPr="0039298E" w:rsidRDefault="00864FC7" w:rsidP="006F52DC">
        <w:pPr>
          <w:pStyle w:val="Footer"/>
          <w:jc w:val="right"/>
          <w:rPr>
            <w:i/>
            <w:sz w:val="16"/>
            <w:szCs w:val="16"/>
          </w:rPr>
        </w:pPr>
        <w:r w:rsidRPr="0039298E">
          <w:rPr>
            <w:i/>
            <w:sz w:val="16"/>
            <w:szCs w:val="16"/>
          </w:rPr>
          <w:t xml:space="preserve">Page </w:t>
        </w:r>
        <w:r w:rsidRPr="0039298E">
          <w:rPr>
            <w:i/>
            <w:sz w:val="16"/>
            <w:szCs w:val="16"/>
          </w:rPr>
          <w:fldChar w:fldCharType="begin"/>
        </w:r>
        <w:r w:rsidRPr="0039298E">
          <w:rPr>
            <w:i/>
            <w:sz w:val="16"/>
            <w:szCs w:val="16"/>
          </w:rPr>
          <w:instrText xml:space="preserve"> PAGE </w:instrText>
        </w:r>
        <w:r w:rsidRPr="0039298E">
          <w:rPr>
            <w:i/>
            <w:sz w:val="16"/>
            <w:szCs w:val="16"/>
          </w:rPr>
          <w:fldChar w:fldCharType="separate"/>
        </w:r>
        <w:r w:rsidR="00565EF1">
          <w:rPr>
            <w:i/>
            <w:noProof/>
            <w:sz w:val="16"/>
            <w:szCs w:val="16"/>
          </w:rPr>
          <w:t>1</w:t>
        </w:r>
        <w:r w:rsidRPr="0039298E">
          <w:rPr>
            <w:i/>
            <w:sz w:val="16"/>
            <w:szCs w:val="16"/>
          </w:rPr>
          <w:fldChar w:fldCharType="end"/>
        </w:r>
        <w:r w:rsidRPr="0039298E">
          <w:rPr>
            <w:i/>
            <w:sz w:val="16"/>
            <w:szCs w:val="16"/>
          </w:rPr>
          <w:t xml:space="preserve"> of </w:t>
        </w:r>
        <w:r w:rsidRPr="0039298E">
          <w:rPr>
            <w:i/>
            <w:sz w:val="16"/>
            <w:szCs w:val="16"/>
          </w:rPr>
          <w:fldChar w:fldCharType="begin"/>
        </w:r>
        <w:r w:rsidRPr="0039298E">
          <w:rPr>
            <w:i/>
            <w:sz w:val="16"/>
            <w:szCs w:val="16"/>
          </w:rPr>
          <w:instrText xml:space="preserve"> NUMPAGES </w:instrText>
        </w:r>
        <w:r w:rsidRPr="0039298E">
          <w:rPr>
            <w:i/>
            <w:sz w:val="16"/>
            <w:szCs w:val="16"/>
          </w:rPr>
          <w:fldChar w:fldCharType="separate"/>
        </w:r>
        <w:r w:rsidR="00565EF1">
          <w:rPr>
            <w:i/>
            <w:noProof/>
            <w:sz w:val="16"/>
            <w:szCs w:val="16"/>
          </w:rPr>
          <w:t>1</w:t>
        </w:r>
        <w:r w:rsidRPr="0039298E">
          <w:rPr>
            <w:i/>
            <w:sz w:val="16"/>
            <w:szCs w:val="16"/>
          </w:rPr>
          <w:fldChar w:fldCharType="end"/>
        </w:r>
      </w:p>
      <w:p w:rsidR="00AF346B" w:rsidRDefault="006007C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C3" w:rsidRDefault="006007C3">
      <w:pPr>
        <w:spacing w:after="0" w:line="240" w:lineRule="auto"/>
      </w:pPr>
      <w:r>
        <w:separator/>
      </w:r>
    </w:p>
  </w:footnote>
  <w:footnote w:type="continuationSeparator" w:id="0">
    <w:p w:rsidR="006007C3" w:rsidRDefault="0060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5AE"/>
    <w:multiLevelType w:val="hybridMultilevel"/>
    <w:tmpl w:val="2AE85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16F52"/>
    <w:multiLevelType w:val="hybridMultilevel"/>
    <w:tmpl w:val="B3348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D3E24"/>
    <w:multiLevelType w:val="hybridMultilevel"/>
    <w:tmpl w:val="CFFC8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7"/>
    <w:rsid w:val="00565EF1"/>
    <w:rsid w:val="006007C3"/>
    <w:rsid w:val="00864FC7"/>
    <w:rsid w:val="0086784B"/>
    <w:rsid w:val="009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543FB-4608-46A9-AB50-EC4BEDCA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C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6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C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09A3.BD3C3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Testa, Corey (HOU)</dc:creator>
  <cp:lastModifiedBy>Diaz, Quinn (SEN)</cp:lastModifiedBy>
  <cp:revision>2</cp:revision>
  <dcterms:created xsi:type="dcterms:W3CDTF">2019-09-19T17:23:00Z</dcterms:created>
  <dcterms:modified xsi:type="dcterms:W3CDTF">2019-09-19T17:23:00Z</dcterms:modified>
</cp:coreProperties>
</file>