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E2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Thomas</w:t>
      </w:r>
      <w:r w:rsidR="00731E33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Turco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Carol</w:t>
      </w:r>
      <w:r w:rsidR="00731E33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Mici, Deputy Commissioner</w:t>
      </w: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Kohl,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Executive Director</w:t>
      </w: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on Mandatory Minimums for Chief Justice Gants</w:t>
      </w: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5, 2017</w:t>
      </w: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14" w:rsidRDefault="00A37D3E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4114">
        <w:rPr>
          <w:rFonts w:ascii="Times New Roman" w:eastAsia="Times New Roman" w:hAnsi="Times New Roman" w:cs="Times New Roman"/>
          <w:sz w:val="24"/>
          <w:szCs w:val="24"/>
        </w:rPr>
        <w:t xml:space="preserve"> received a request from Chief Justice Gants office for a</w:t>
      </w:r>
      <w:r w:rsidR="00741C5E">
        <w:rPr>
          <w:rFonts w:ascii="Times New Roman" w:eastAsia="Times New Roman" w:hAnsi="Times New Roman" w:cs="Times New Roman"/>
          <w:sz w:val="24"/>
          <w:szCs w:val="24"/>
        </w:rPr>
        <w:t xml:space="preserve">ny information </w:t>
      </w:r>
      <w:r>
        <w:rPr>
          <w:rFonts w:ascii="Times New Roman" w:eastAsia="Times New Roman" w:hAnsi="Times New Roman" w:cs="Times New Roman"/>
          <w:sz w:val="24"/>
          <w:szCs w:val="24"/>
        </w:rPr>
        <w:t>on mandatory minimum sentences</w:t>
      </w:r>
      <w:r w:rsidR="0023411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41C5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possible t</w:t>
      </w:r>
      <w:r w:rsidR="009668C6">
        <w:rPr>
          <w:rFonts w:ascii="Times New Roman" w:eastAsia="Times New Roman" w:hAnsi="Times New Roman" w:cs="Times New Roman"/>
          <w:sz w:val="24"/>
          <w:szCs w:val="24"/>
        </w:rPr>
        <w:t>hey were looking for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114">
        <w:rPr>
          <w:rFonts w:ascii="Times New Roman" w:eastAsia="Times New Roman" w:hAnsi="Times New Roman" w:cs="Times New Roman"/>
          <w:sz w:val="24"/>
          <w:szCs w:val="24"/>
        </w:rPr>
        <w:t>regarding:</w:t>
      </w:r>
    </w:p>
    <w:p w:rsidR="00234114" w:rsidRP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1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234114">
        <w:rPr>
          <w:rFonts w:ascii="Times New Roman" w:eastAsia="Times New Roman" w:hAnsi="Times New Roman" w:cs="Times New Roman"/>
          <w:sz w:val="24"/>
          <w:szCs w:val="24"/>
        </w:rPr>
        <w:t>county</w:t>
      </w:r>
      <w:proofErr w:type="gramEnd"/>
      <w:r w:rsidRPr="00234114">
        <w:rPr>
          <w:rFonts w:ascii="Times New Roman" w:eastAsia="Times New Roman" w:hAnsi="Times New Roman" w:cs="Times New Roman"/>
          <w:sz w:val="24"/>
          <w:szCs w:val="24"/>
        </w:rPr>
        <w:t xml:space="preserve"> where mandatory offenders were convicted</w:t>
      </w:r>
    </w:p>
    <w:p w:rsidR="00234114" w:rsidRPr="00BC7DC2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1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234114">
        <w:rPr>
          <w:rFonts w:ascii="Times New Roman" w:eastAsia="Times New Roman" w:hAnsi="Times New Roman" w:cs="Times New Roman"/>
          <w:sz w:val="24"/>
          <w:szCs w:val="24"/>
        </w:rPr>
        <w:t>racial</w:t>
      </w:r>
      <w:proofErr w:type="gramEnd"/>
      <w:r w:rsidRPr="00234114">
        <w:rPr>
          <w:rFonts w:ascii="Times New Roman" w:eastAsia="Times New Roman" w:hAnsi="Times New Roman" w:cs="Times New Roman"/>
          <w:sz w:val="24"/>
          <w:szCs w:val="24"/>
        </w:rPr>
        <w:t xml:space="preserve"> background of mandatory offenders</w:t>
      </w:r>
      <w:r w:rsidR="00BC7DC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BC7DC2" w:rsidRPr="00BC7DC2">
        <w:rPr>
          <w:rFonts w:ascii="Times New Roman" w:eastAsia="Times New Roman" w:hAnsi="Times New Roman" w:cs="Times New Roman"/>
          <w:i/>
          <w:sz w:val="24"/>
          <w:szCs w:val="24"/>
        </w:rPr>
        <w:t xml:space="preserve">with the </w:t>
      </w:r>
      <w:r w:rsidR="00BC7DC2">
        <w:rPr>
          <w:rFonts w:ascii="Times New Roman" w:eastAsia="Times New Roman" w:hAnsi="Times New Roman" w:cs="Times New Roman"/>
          <w:i/>
          <w:sz w:val="24"/>
          <w:szCs w:val="24"/>
        </w:rPr>
        <w:t>interest being on drug offenses</w:t>
      </w:r>
      <w:r w:rsidR="00BC7DC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34114" w:rsidRDefault="00234114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1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234114">
        <w:rPr>
          <w:rFonts w:ascii="Times New Roman" w:eastAsia="Times New Roman" w:hAnsi="Times New Roman" w:cs="Times New Roman"/>
          <w:sz w:val="24"/>
          <w:szCs w:val="24"/>
        </w:rPr>
        <w:t>prior</w:t>
      </w:r>
      <w:proofErr w:type="gramEnd"/>
      <w:r w:rsidRPr="00234114">
        <w:rPr>
          <w:rFonts w:ascii="Times New Roman" w:eastAsia="Times New Roman" w:hAnsi="Times New Roman" w:cs="Times New Roman"/>
          <w:sz w:val="24"/>
          <w:szCs w:val="24"/>
        </w:rPr>
        <w:t xml:space="preserve"> convictions of mandatory offenders</w:t>
      </w:r>
    </w:p>
    <w:p w:rsidR="00BC7DC2" w:rsidRDefault="00BC7DC2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DC2" w:rsidRDefault="009668C6" w:rsidP="0019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Attached please find a </w:t>
      </w:r>
      <w:r w:rsidR="00BE7967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document </w:t>
      </w:r>
      <w:r w:rsidR="00BC7DC2">
        <w:rPr>
          <w:rFonts w:ascii="Times New Roman" w:eastAsia="Times New Roman" w:hAnsi="Times New Roman" w:cs="Times New Roman"/>
          <w:sz w:val="24"/>
          <w:szCs w:val="24"/>
        </w:rPr>
        <w:t>in response to this request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 xml:space="preserve"> containing current </w:t>
      </w:r>
      <w:r w:rsidR="00192C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7D3E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>readily available, including data on differences between minimum and maximum mandatory sentences as this impacts areas su</w:t>
      </w:r>
      <w:r w:rsidR="00BC7DC2">
        <w:rPr>
          <w:rFonts w:ascii="Times New Roman" w:eastAsia="Times New Roman" w:hAnsi="Times New Roman" w:cs="Times New Roman"/>
          <w:sz w:val="24"/>
          <w:szCs w:val="24"/>
        </w:rPr>
        <w:t xml:space="preserve">ch as parole eligibility </w:t>
      </w:r>
      <w:r w:rsidR="00A37D3E">
        <w:rPr>
          <w:rFonts w:ascii="Times New Roman" w:eastAsia="Times New Roman" w:hAnsi="Times New Roman" w:cs="Times New Roman"/>
          <w:sz w:val="24"/>
          <w:szCs w:val="24"/>
        </w:rPr>
        <w:t>and restrictions effecting inmate programming,</w:t>
      </w:r>
      <w:r w:rsidR="00BC7DC2">
        <w:rPr>
          <w:rFonts w:ascii="Times New Roman" w:eastAsia="Times New Roman" w:hAnsi="Times New Roman" w:cs="Times New Roman"/>
          <w:sz w:val="24"/>
          <w:szCs w:val="24"/>
        </w:rPr>
        <w:t xml:space="preserve"> such as “earned good time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B5F01" w:rsidRDefault="008B5F01" w:rsidP="008B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AF6" w:rsidRPr="00E70946" w:rsidRDefault="00741C5E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Statistics 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 xml:space="preserve">on mandatory minimum sentences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 xml:space="preserve">also been </w:t>
      </w:r>
      <w:r w:rsidR="008B5F01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 xml:space="preserve">in a number of </w:t>
      </w:r>
      <w:r w:rsidR="008B5F01">
        <w:rPr>
          <w:rFonts w:ascii="Times New Roman" w:eastAsia="Times New Roman" w:hAnsi="Times New Roman" w:cs="Times New Roman"/>
          <w:sz w:val="24"/>
          <w:szCs w:val="24"/>
        </w:rPr>
        <w:t>reports produc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>ed by the DOC Research Division</w:t>
      </w:r>
      <w:r w:rsidR="00192C5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E70946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 xml:space="preserve"> 1 below reflects</w:t>
      </w:r>
      <w:r w:rsidR="00E70946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>e steady decline in the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 xml:space="preserve"> overall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>DOC and Drug Offender</w:t>
      </w:r>
      <w:r w:rsidR="00E70946">
        <w:rPr>
          <w:rFonts w:ascii="Times New Roman" w:eastAsia="Times New Roman" w:hAnsi="Times New Roman" w:cs="Times New Roman"/>
          <w:sz w:val="24"/>
          <w:szCs w:val="24"/>
        </w:rPr>
        <w:t xml:space="preserve"> population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0946">
        <w:rPr>
          <w:rFonts w:ascii="Times New Roman" w:eastAsia="Times New Roman" w:hAnsi="Times New Roman" w:cs="Times New Roman"/>
          <w:sz w:val="24"/>
          <w:szCs w:val="24"/>
        </w:rPr>
        <w:t xml:space="preserve"> as of </w:t>
      </w:r>
      <w:r w:rsidR="00E70946">
        <w:rPr>
          <w:rFonts w:ascii="Times New Roman" w:eastAsia="Times New Roman" w:hAnsi="Times New Roman" w:cs="Times New Roman"/>
          <w:b/>
          <w:sz w:val="24"/>
          <w:szCs w:val="24"/>
        </w:rPr>
        <w:t>January 1</w:t>
      </w:r>
      <w:r w:rsidR="00E70946" w:rsidRPr="00E7094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1862D7">
        <w:rPr>
          <w:rFonts w:ascii="Times New Roman" w:eastAsia="Times New Roman" w:hAnsi="Times New Roman" w:cs="Times New Roman"/>
          <w:b/>
          <w:sz w:val="24"/>
          <w:szCs w:val="24"/>
        </w:rPr>
        <w:t xml:space="preserve"> over the last five years 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>depicting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E70946">
        <w:rPr>
          <w:rFonts w:ascii="Times New Roman" w:eastAsia="Times New Roman" w:hAnsi="Times New Roman" w:cs="Times New Roman"/>
          <w:sz w:val="24"/>
          <w:szCs w:val="24"/>
        </w:rPr>
        <w:t>urisdiction</w:t>
      </w:r>
      <w:r w:rsidR="00B43C07">
        <w:rPr>
          <w:rFonts w:ascii="Times New Roman" w:eastAsia="Times New Roman" w:hAnsi="Times New Roman" w:cs="Times New Roman"/>
          <w:sz w:val="24"/>
          <w:szCs w:val="24"/>
        </w:rPr>
        <w:t xml:space="preserve"> inmate pop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 xml:space="preserve">ulations and subset populations </w:t>
      </w:r>
      <w:r w:rsidR="001862D7">
        <w:rPr>
          <w:rFonts w:ascii="Times New Roman" w:eastAsia="Times New Roman" w:hAnsi="Times New Roman" w:cs="Times New Roman"/>
          <w:sz w:val="24"/>
          <w:szCs w:val="24"/>
        </w:rPr>
        <w:t>therein</w:t>
      </w:r>
      <w:r w:rsidR="00E7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E33" w:rsidRDefault="00731E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41C5E" w:rsidRPr="001E355C" w:rsidRDefault="00741C5E" w:rsidP="0074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55C" w:rsidRDefault="001E355C" w:rsidP="0074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0"/>
        <w:gridCol w:w="1440"/>
        <w:gridCol w:w="1440"/>
        <w:gridCol w:w="1350"/>
        <w:gridCol w:w="1278"/>
      </w:tblGrid>
      <w:tr w:rsidR="00993FDB" w:rsidTr="00B43C07">
        <w:tc>
          <w:tcPr>
            <w:tcW w:w="2898" w:type="dxa"/>
            <w:shd w:val="pct12" w:color="auto" w:fill="auto"/>
          </w:tcPr>
          <w:p w:rsidR="00993FDB" w:rsidRDefault="00B43C07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MADOC January 1st</w:t>
            </w:r>
          </w:p>
        </w:tc>
        <w:tc>
          <w:tcPr>
            <w:tcW w:w="1170" w:type="dxa"/>
            <w:shd w:val="pct12" w:color="auto" w:fill="auto"/>
          </w:tcPr>
          <w:p w:rsidR="00993FDB" w:rsidRPr="00E70946" w:rsidRDefault="00993FDB" w:rsidP="00E709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440" w:type="dxa"/>
            <w:shd w:val="pct12" w:color="auto" w:fill="auto"/>
          </w:tcPr>
          <w:p w:rsidR="00993FDB" w:rsidRPr="00E70946" w:rsidRDefault="00993FDB" w:rsidP="00E709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40" w:type="dxa"/>
            <w:shd w:val="pct12" w:color="auto" w:fill="auto"/>
          </w:tcPr>
          <w:p w:rsidR="00993FDB" w:rsidRPr="00E70946" w:rsidRDefault="00993FDB" w:rsidP="00E709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50" w:type="dxa"/>
            <w:shd w:val="pct12" w:color="auto" w:fill="auto"/>
          </w:tcPr>
          <w:p w:rsidR="00993FDB" w:rsidRPr="00E70946" w:rsidRDefault="00993FDB" w:rsidP="00E709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8" w:type="dxa"/>
            <w:shd w:val="pct12" w:color="auto" w:fill="auto"/>
          </w:tcPr>
          <w:p w:rsidR="00993FDB" w:rsidRPr="00E70946" w:rsidRDefault="00993FDB" w:rsidP="00E709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 w:rsidR="001862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993FDB" w:rsidTr="00E70946">
        <w:tc>
          <w:tcPr>
            <w:tcW w:w="2898" w:type="dxa"/>
          </w:tcPr>
          <w:p w:rsidR="00993FDB" w:rsidRPr="00B43C07" w:rsidRDefault="00993FDB" w:rsidP="00E70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Jurisdiction Population</w:t>
            </w:r>
          </w:p>
        </w:tc>
        <w:tc>
          <w:tcPr>
            <w:tcW w:w="117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11,403</w:t>
            </w:r>
          </w:p>
        </w:tc>
        <w:tc>
          <w:tcPr>
            <w:tcW w:w="144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11.034</w:t>
            </w:r>
          </w:p>
        </w:tc>
        <w:tc>
          <w:tcPr>
            <w:tcW w:w="144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10,813</w:t>
            </w:r>
          </w:p>
        </w:tc>
        <w:tc>
          <w:tcPr>
            <w:tcW w:w="135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10,014</w:t>
            </w:r>
          </w:p>
        </w:tc>
        <w:tc>
          <w:tcPr>
            <w:tcW w:w="1278" w:type="dxa"/>
          </w:tcPr>
          <w:p w:rsidR="00993FDB" w:rsidRDefault="00C84E50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9,498</w:t>
            </w:r>
          </w:p>
          <w:p w:rsidR="00E70946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DB" w:rsidTr="00E70946">
        <w:tc>
          <w:tcPr>
            <w:tcW w:w="2898" w:type="dxa"/>
          </w:tcPr>
          <w:p w:rsidR="00993FDB" w:rsidRPr="00B43C07" w:rsidRDefault="00E70946" w:rsidP="00E70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Criminally </w:t>
            </w:r>
            <w:r w:rsidR="00B43C07" w:rsidRP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Sentenced J</w:t>
            </w:r>
            <w:r w:rsid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urisdiction P</w:t>
            </w:r>
            <w:r w:rsidR="00993FDB" w:rsidRP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opulation</w:t>
            </w:r>
          </w:p>
        </w:tc>
        <w:tc>
          <w:tcPr>
            <w:tcW w:w="117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10,148</w:t>
            </w:r>
          </w:p>
        </w:tc>
        <w:tc>
          <w:tcPr>
            <w:tcW w:w="144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9,808</w:t>
            </w:r>
          </w:p>
        </w:tc>
        <w:tc>
          <w:tcPr>
            <w:tcW w:w="144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9,670</w:t>
            </w:r>
          </w:p>
        </w:tc>
        <w:tc>
          <w:tcPr>
            <w:tcW w:w="135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9,096</w:t>
            </w:r>
          </w:p>
        </w:tc>
        <w:tc>
          <w:tcPr>
            <w:tcW w:w="1278" w:type="dxa"/>
          </w:tcPr>
          <w:p w:rsidR="00993FDB" w:rsidRDefault="00C66AC9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8,634</w:t>
            </w:r>
          </w:p>
        </w:tc>
      </w:tr>
      <w:tr w:rsidR="00993FDB" w:rsidTr="00E70946">
        <w:tc>
          <w:tcPr>
            <w:tcW w:w="2898" w:type="dxa"/>
          </w:tcPr>
          <w:p w:rsidR="00993FDB" w:rsidRPr="00B43C07" w:rsidRDefault="00E70946" w:rsidP="00E70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Drug Offenders</w:t>
            </w:r>
            <w:r w:rsid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1,831</w:t>
            </w:r>
          </w:p>
        </w:tc>
        <w:tc>
          <w:tcPr>
            <w:tcW w:w="144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1,564</w:t>
            </w:r>
          </w:p>
        </w:tc>
        <w:tc>
          <w:tcPr>
            <w:tcW w:w="144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1,432</w:t>
            </w:r>
          </w:p>
        </w:tc>
        <w:tc>
          <w:tcPr>
            <w:tcW w:w="135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1,319</w:t>
            </w:r>
          </w:p>
        </w:tc>
        <w:tc>
          <w:tcPr>
            <w:tcW w:w="1278" w:type="dxa"/>
          </w:tcPr>
          <w:p w:rsidR="00E70946" w:rsidRDefault="00C66AC9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1,247</w:t>
            </w:r>
          </w:p>
          <w:p w:rsidR="00C66AC9" w:rsidRDefault="00C66AC9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FDB" w:rsidTr="00E70946">
        <w:tc>
          <w:tcPr>
            <w:tcW w:w="2898" w:type="dxa"/>
          </w:tcPr>
          <w:p w:rsidR="00993FDB" w:rsidRPr="00B43C07" w:rsidRDefault="00993FDB" w:rsidP="00E70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Mandatory Drug Offenders</w:t>
            </w:r>
            <w:r w:rsidR="00B4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1,279</w:t>
            </w:r>
          </w:p>
        </w:tc>
        <w:tc>
          <w:tcPr>
            <w:tcW w:w="144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1,062</w:t>
            </w:r>
          </w:p>
        </w:tc>
        <w:tc>
          <w:tcPr>
            <w:tcW w:w="1440" w:type="dxa"/>
          </w:tcPr>
          <w:p w:rsidR="00993FDB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350" w:type="dxa"/>
          </w:tcPr>
          <w:p w:rsidR="00993FDB" w:rsidRDefault="00E14E34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278" w:type="dxa"/>
          </w:tcPr>
          <w:p w:rsidR="00993FDB" w:rsidRDefault="00C66AC9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  <w:p w:rsidR="00E70946" w:rsidRDefault="00E70946" w:rsidP="0099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FDB" w:rsidRDefault="00B43C0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*based on governing offense</w:t>
      </w:r>
    </w:p>
    <w:p w:rsidR="001862D7" w:rsidRPr="00B43C07" w:rsidRDefault="001862D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**2017 data is preliminary and subject to change</w:t>
      </w:r>
    </w:p>
    <w:p w:rsidR="00B43C07" w:rsidRDefault="00B43C0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C07" w:rsidRDefault="00B43C0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967" w:rsidRPr="00BE7967" w:rsidRDefault="00BE796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are two </w:t>
      </w:r>
      <w:r w:rsidR="003D6503">
        <w:rPr>
          <w:rFonts w:ascii="Times New Roman" w:eastAsia="Times New Roman" w:hAnsi="Times New Roman" w:cs="Times New Roman"/>
          <w:sz w:val="24"/>
          <w:szCs w:val="24"/>
        </w:rPr>
        <w:t>figures/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graphs 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 xml:space="preserve">reflecting </w:t>
      </w:r>
      <w:r w:rsidR="00B43C07" w:rsidRPr="00B43C07">
        <w:rPr>
          <w:rFonts w:ascii="Times New Roman" w:eastAsia="Times New Roman" w:hAnsi="Times New Roman" w:cs="Times New Roman"/>
          <w:b/>
          <w:sz w:val="24"/>
          <w:szCs w:val="24"/>
        </w:rPr>
        <w:t xml:space="preserve">New Court Commitments for </w:t>
      </w:r>
      <w:proofErr w:type="gramStart"/>
      <w:r w:rsidR="00B43C07" w:rsidRPr="00B43C07">
        <w:rPr>
          <w:rFonts w:ascii="Times New Roman" w:eastAsia="Times New Roman" w:hAnsi="Times New Roman" w:cs="Times New Roman"/>
          <w:b/>
          <w:sz w:val="24"/>
          <w:szCs w:val="24"/>
        </w:rPr>
        <w:t>CY2016</w:t>
      </w:r>
      <w:r w:rsidR="001E35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1E35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Figure 1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 xml:space="preserve"> provides ALL</w:t>
      </w:r>
      <w:r w:rsidR="00B43C07">
        <w:rPr>
          <w:rFonts w:ascii="Times New Roman" w:eastAsia="Times New Roman" w:hAnsi="Times New Roman" w:cs="Times New Roman"/>
          <w:sz w:val="24"/>
          <w:szCs w:val="24"/>
        </w:rPr>
        <w:t xml:space="preserve"> New Court Commitments and those with a mandatory 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B43C07">
        <w:rPr>
          <w:rFonts w:ascii="Times New Roman" w:eastAsia="Times New Roman" w:hAnsi="Times New Roman" w:cs="Times New Roman"/>
          <w:sz w:val="24"/>
          <w:szCs w:val="24"/>
        </w:rPr>
        <w:t>imum sentence (based on each inmate’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>s governing sentence) broken out by race/ethnicity</w:t>
      </w:r>
      <w:r w:rsidR="003D6503">
        <w:rPr>
          <w:rFonts w:ascii="Times New Roman" w:eastAsia="Times New Roman" w:hAnsi="Times New Roman" w:cs="Times New Roman"/>
          <w:sz w:val="24"/>
          <w:szCs w:val="24"/>
        </w:rPr>
        <w:t xml:space="preserve"> and then percentages</w:t>
      </w:r>
      <w:r>
        <w:rPr>
          <w:rFonts w:ascii="Times New Roman" w:eastAsia="Times New Roman" w:hAnsi="Times New Roman" w:cs="Times New Roman"/>
          <w:sz w:val="24"/>
          <w:szCs w:val="24"/>
        </w:rPr>
        <w:t>.  Figure 2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 xml:space="preserve"> reflects the number of all inmates with a governing drug offense compared to those among them with a mandatory minimum sentence also broken out by race/ethnicity</w:t>
      </w:r>
      <w:r w:rsidR="003D6503">
        <w:rPr>
          <w:rFonts w:ascii="Times New Roman" w:eastAsia="Times New Roman" w:hAnsi="Times New Roman" w:cs="Times New Roman"/>
          <w:sz w:val="24"/>
          <w:szCs w:val="24"/>
        </w:rPr>
        <w:t xml:space="preserve"> and then percentages</w:t>
      </w:r>
      <w:r w:rsidR="001E355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E7967">
        <w:rPr>
          <w:rFonts w:ascii="Times New Roman" w:eastAsia="Times New Roman" w:hAnsi="Times New Roman" w:cs="Times New Roman"/>
          <w:i/>
          <w:sz w:val="24"/>
          <w:szCs w:val="24"/>
        </w:rPr>
        <w:t>Offenders with a self-reported ethnicity of Hispanic are counted as Hispanic in the race/ethnicity category.</w:t>
      </w:r>
    </w:p>
    <w:p w:rsidR="00731E33" w:rsidRDefault="00731E33" w:rsidP="00731E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FDB" w:rsidRDefault="00BE7967" w:rsidP="0073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</w:t>
      </w:r>
    </w:p>
    <w:p w:rsidR="00993FDB" w:rsidRDefault="00B43C0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CCAF24" wp14:editId="72751A09">
            <wp:extent cx="5772150" cy="3267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FDB" w:rsidRDefault="00993FDB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Graph 1</w:t>
      </w:r>
    </w:p>
    <w:p w:rsidR="00731E33" w:rsidRDefault="000765F2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FB2B7B" wp14:editId="56F14A92">
            <wp:extent cx="4448175" cy="23431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FDB" w:rsidRDefault="00BE796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2</w:t>
      </w:r>
    </w:p>
    <w:p w:rsidR="00F07F16" w:rsidRDefault="00B43C0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A6F54D" wp14:editId="461D6782">
            <wp:extent cx="5943600" cy="29146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6503" w:rsidRDefault="003D65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Graph 2</w:t>
      </w: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1BCCFA" wp14:editId="1A9388FC">
            <wp:extent cx="4572000" cy="24288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FDB" w:rsidRDefault="00BE7967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Hollie Matthews for providing the attached document reporting January 2017 data and Nick Cannata who worked on the above two graphs showing new court commitments</w:t>
      </w:r>
      <w:r w:rsidR="00C66AC9">
        <w:rPr>
          <w:rFonts w:ascii="Times New Roman" w:eastAsia="Times New Roman" w:hAnsi="Times New Roman" w:cs="Times New Roman"/>
          <w:sz w:val="24"/>
          <w:szCs w:val="24"/>
        </w:rPr>
        <w:t xml:space="preserve"> in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F16" w:rsidRDefault="00F07F16" w:rsidP="0099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7F16" w:rsidSect="00731E33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9F" w:rsidRDefault="00E11F9F" w:rsidP="00080FE2">
      <w:pPr>
        <w:spacing w:after="0" w:line="240" w:lineRule="auto"/>
      </w:pPr>
      <w:r>
        <w:separator/>
      </w:r>
    </w:p>
  </w:endnote>
  <w:endnote w:type="continuationSeparator" w:id="0">
    <w:p w:rsidR="00E11F9F" w:rsidRDefault="00E11F9F" w:rsidP="0008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9F" w:rsidRDefault="00E11F9F" w:rsidP="00080FE2">
      <w:pPr>
        <w:spacing w:after="0" w:line="240" w:lineRule="auto"/>
      </w:pPr>
      <w:r>
        <w:separator/>
      </w:r>
    </w:p>
  </w:footnote>
  <w:footnote w:type="continuationSeparator" w:id="0">
    <w:p w:rsidR="00E11F9F" w:rsidRDefault="00E11F9F" w:rsidP="0008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908" w:type="dxa"/>
      <w:tblLayout w:type="fixed"/>
      <w:tblLook w:val="01E0" w:firstRow="1" w:lastRow="1" w:firstColumn="1" w:lastColumn="1" w:noHBand="0" w:noVBand="0"/>
    </w:tblPr>
    <w:tblGrid>
      <w:gridCol w:w="2592"/>
      <w:gridCol w:w="5946"/>
      <w:gridCol w:w="2658"/>
    </w:tblGrid>
    <w:tr w:rsidR="00731E33" w:rsidRPr="00731E33" w:rsidTr="00731E33">
      <w:tc>
        <w:tcPr>
          <w:tcW w:w="2592" w:type="dxa"/>
          <w:vMerge w:val="restart"/>
          <w:shd w:val="clear" w:color="auto" w:fill="auto"/>
          <w:vAlign w:val="center"/>
        </w:tcPr>
        <w:bookmarkStart w:id="1" w:name="_MON_1069659018"/>
        <w:bookmarkStart w:id="2" w:name="_MON_1087637179"/>
        <w:bookmarkStart w:id="3" w:name="_MON_1262762588"/>
        <w:bookmarkEnd w:id="1"/>
        <w:bookmarkEnd w:id="2"/>
        <w:bookmarkEnd w:id="3"/>
        <w:bookmarkStart w:id="4" w:name="_MON_1381324093"/>
        <w:bookmarkEnd w:id="4"/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Footlight MT Light" w:eastAsia="Times New Roman" w:hAnsi="Footlight MT Light" w:cs="Arial"/>
              <w:color w:val="000080"/>
              <w:sz w:val="24"/>
              <w:szCs w:val="20"/>
            </w:rPr>
          </w:pPr>
          <w:r w:rsidRPr="00731E33">
            <w:rPr>
              <w:rFonts w:ascii="Arial" w:eastAsia="Times New Roman" w:hAnsi="Arial" w:cs="Arial"/>
              <w:szCs w:val="20"/>
            </w:rPr>
            <w:object w:dxaOrig="1601" w:dyaOrig="19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96pt" o:ole="" fillcolor="window">
                <v:imagedata r:id="rId1" o:title=""/>
              </v:shape>
              <o:OLEObject Type="Embed" ProgID="Word.Picture.8" ShapeID="_x0000_i1025" DrawAspect="Content" ObjectID="_1545139635" r:id="rId2"/>
            </w:object>
          </w:r>
        </w:p>
      </w:tc>
      <w:tc>
        <w:tcPr>
          <w:tcW w:w="5946" w:type="dxa"/>
          <w:shd w:val="clear" w:color="auto" w:fill="auto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6"/>
              <w:szCs w:val="36"/>
            </w:rPr>
          </w:pPr>
          <w:r w:rsidRPr="00731E33">
            <w:rPr>
              <w:rFonts w:ascii="Monotype Corsiva" w:eastAsia="Times New Roman" w:hAnsi="Monotype Corsiva" w:cs="Arial"/>
              <w:color w:val="000080"/>
              <w:sz w:val="36"/>
              <w:szCs w:val="36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 w:rsidRPr="00731E33">
                <w:rPr>
                  <w:rFonts w:ascii="Monotype Corsiva" w:eastAsia="Times New Roman" w:hAnsi="Monotype Corsiva" w:cs="Arial"/>
                  <w:color w:val="000080"/>
                  <w:sz w:val="36"/>
                  <w:szCs w:val="36"/>
                </w:rPr>
                <w:t>Commonwealth</w:t>
              </w:r>
            </w:smartTag>
            <w:r w:rsidRPr="00731E33">
              <w:rPr>
                <w:rFonts w:ascii="Monotype Corsiva" w:eastAsia="Times New Roman" w:hAnsi="Monotype Corsiva" w:cs="Arial"/>
                <w:color w:val="000080"/>
                <w:sz w:val="36"/>
                <w:szCs w:val="36"/>
              </w:rPr>
              <w:t xml:space="preserve"> of </w:t>
            </w:r>
            <w:smartTag w:uri="urn:schemas-microsoft-com:office:smarttags" w:element="PlaceName">
              <w:r w:rsidRPr="00731E33">
                <w:rPr>
                  <w:rFonts w:ascii="Monotype Corsiva" w:eastAsia="Times New Roman" w:hAnsi="Monotype Corsiva" w:cs="Arial"/>
                  <w:color w:val="000080"/>
                  <w:sz w:val="36"/>
                  <w:szCs w:val="36"/>
                </w:rPr>
                <w:t>Massachusetts</w:t>
              </w:r>
            </w:smartTag>
          </w:smartTag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  <w:r w:rsidRPr="00731E33"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  <w:t>Executive Office of Public Safety &amp; Security</w:t>
          </w:r>
        </w:p>
      </w:tc>
      <w:bookmarkStart w:id="5" w:name="_MON_1069659072"/>
      <w:bookmarkEnd w:id="5"/>
      <w:bookmarkStart w:id="6" w:name="_MON_1265030409"/>
      <w:bookmarkEnd w:id="6"/>
      <w:tc>
        <w:tcPr>
          <w:tcW w:w="2658" w:type="dxa"/>
          <w:vMerge w:val="restart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Footlight MT Light" w:eastAsia="Times New Roman" w:hAnsi="Footlight MT Light" w:cs="Arial"/>
              <w:color w:val="000080"/>
              <w:sz w:val="24"/>
              <w:szCs w:val="20"/>
            </w:rPr>
          </w:pPr>
          <w:r w:rsidRPr="00731E33">
            <w:rPr>
              <w:rFonts w:ascii="Arial" w:eastAsia="Times New Roman" w:hAnsi="Arial" w:cs="Arial"/>
              <w:color w:val="000080"/>
              <w:szCs w:val="20"/>
            </w:rPr>
            <w:object w:dxaOrig="1321" w:dyaOrig="1421">
              <v:shape id="_x0000_i1026" type="#_x0000_t75" style="width:83.25pt;height:90pt" o:ole="" fillcolor="window">
                <v:imagedata r:id="rId3" o:title=""/>
              </v:shape>
              <o:OLEObject Type="Embed" ProgID="Word.Picture.8" ShapeID="_x0000_i1026" DrawAspect="Content" ObjectID="_1545139636" r:id="rId4"/>
            </w:object>
          </w:r>
        </w:p>
      </w:tc>
    </w:tr>
    <w:tr w:rsidR="00731E33" w:rsidRPr="00731E33" w:rsidTr="00731E33">
      <w:trPr>
        <w:trHeight w:val="298"/>
      </w:trPr>
      <w:tc>
        <w:tcPr>
          <w:tcW w:w="2592" w:type="dxa"/>
          <w:vMerge/>
          <w:shd w:val="clear" w:color="auto" w:fill="auto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Footlight MT Light" w:eastAsia="Times New Roman" w:hAnsi="Footlight MT Light" w:cs="Arial"/>
              <w:color w:val="000080"/>
              <w:sz w:val="24"/>
              <w:szCs w:val="20"/>
            </w:rPr>
          </w:pP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  <w:r w:rsidRPr="00731E33"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  <w:t>Department of Correction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731E33">
                <w:rPr>
                  <w:rFonts w:ascii="Monotype Corsiva" w:eastAsia="Times New Roman" w:hAnsi="Monotype Corsiva" w:cs="Arial"/>
                  <w:color w:val="000080"/>
                  <w:sz w:val="32"/>
                  <w:szCs w:val="32"/>
                </w:rPr>
                <w:t>50 Maple Street, Suite 3</w:t>
              </w:r>
            </w:smartTag>
          </w:smartTag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  <w:smartTag w:uri="urn:schemas-microsoft-com:office:smarttags" w:element="City">
            <w:r w:rsidRPr="00731E33">
              <w:rPr>
                <w:rFonts w:ascii="Monotype Corsiva" w:eastAsia="Times New Roman" w:hAnsi="Monotype Corsiva" w:cs="Arial"/>
                <w:color w:val="000080"/>
                <w:sz w:val="32"/>
                <w:szCs w:val="32"/>
              </w:rPr>
              <w:t>Milford</w:t>
            </w:r>
          </w:smartTag>
          <w:r w:rsidRPr="00731E33"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  <w:t xml:space="preserve">, </w:t>
          </w:r>
          <w:smartTag w:uri="urn:schemas-microsoft-com:office:smarttags" w:element="State">
            <w:r w:rsidRPr="00731E33">
              <w:rPr>
                <w:rFonts w:ascii="Monotype Corsiva" w:eastAsia="Times New Roman" w:hAnsi="Monotype Corsiva" w:cs="Arial"/>
                <w:color w:val="000080"/>
                <w:sz w:val="32"/>
                <w:szCs w:val="32"/>
              </w:rPr>
              <w:t>MA</w:t>
            </w:r>
          </w:smartTag>
          <w:r w:rsidRPr="00731E33"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  <w:t xml:space="preserve"> 01757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  <w:r w:rsidRPr="00731E33"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  <w:t>Tel: (508) 422-3300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  <w:r w:rsidRPr="00731E33"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  <w:t>www.mass.gov/doc</w:t>
          </w:r>
        </w:p>
      </w:tc>
      <w:tc>
        <w:tcPr>
          <w:tcW w:w="2658" w:type="dxa"/>
          <w:vMerge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Footlight MT Light" w:eastAsia="Times New Roman" w:hAnsi="Footlight MT Light" w:cs="Arial"/>
              <w:color w:val="000080"/>
              <w:sz w:val="24"/>
              <w:szCs w:val="20"/>
            </w:rPr>
          </w:pPr>
        </w:p>
      </w:tc>
    </w:tr>
    <w:tr w:rsidR="00731E33" w:rsidRPr="00731E33" w:rsidTr="00731E33">
      <w:tc>
        <w:tcPr>
          <w:tcW w:w="2592" w:type="dxa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CHARLES D. BAKER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Governor</w:t>
          </w:r>
        </w:p>
      </w:tc>
      <w:tc>
        <w:tcPr>
          <w:tcW w:w="5946" w:type="dxa"/>
          <w:vMerge/>
          <w:shd w:val="clear" w:color="auto" w:fill="auto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</w:p>
      </w:tc>
      <w:tc>
        <w:tcPr>
          <w:tcW w:w="2658" w:type="dxa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THOMAS A. TURCO III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Commissioner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</w:p>
      </w:tc>
    </w:tr>
    <w:tr w:rsidR="00731E33" w:rsidRPr="00731E33" w:rsidTr="00731E33">
      <w:tc>
        <w:tcPr>
          <w:tcW w:w="2592" w:type="dxa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KARYN E. POLITO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Lieutenant Governor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DANIEL BENNETT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Secretary</w:t>
          </w:r>
        </w:p>
      </w:tc>
      <w:tc>
        <w:tcPr>
          <w:tcW w:w="5946" w:type="dxa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Monotype Corsiva" w:eastAsia="Times New Roman" w:hAnsi="Monotype Corsiva" w:cs="Arial"/>
              <w:color w:val="000080"/>
              <w:sz w:val="32"/>
              <w:szCs w:val="32"/>
            </w:rPr>
          </w:pPr>
        </w:p>
      </w:tc>
      <w:tc>
        <w:tcPr>
          <w:tcW w:w="2658" w:type="dxa"/>
          <w:shd w:val="clear" w:color="auto" w:fill="auto"/>
          <w:vAlign w:val="center"/>
        </w:tcPr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JOHN A. O’MALLEY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Chief of Staff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PAUL DIETL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 xml:space="preserve">BRUCE I. GELB  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MICHAEL G. GRANT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color w:val="000080"/>
              <w:sz w:val="18"/>
              <w:szCs w:val="18"/>
            </w:rPr>
            <w:t>CAROL A. MICI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Deputy Commissioners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b/>
              <w:i/>
              <w:color w:val="000080"/>
              <w:sz w:val="18"/>
              <w:szCs w:val="18"/>
            </w:rPr>
          </w:pPr>
          <w:r w:rsidRPr="00731E33">
            <w:rPr>
              <w:rFonts w:ascii="Book Antiqua" w:eastAsia="Times New Roman" w:hAnsi="Book Antiqua" w:cs="Arial"/>
              <w:b/>
              <w:i/>
              <w:color w:val="000080"/>
              <w:sz w:val="18"/>
              <w:szCs w:val="18"/>
            </w:rPr>
            <w:t>Rhiana Kohl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  <w:r w:rsidRPr="00731E33"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  <w:t>Executive Director</w:t>
          </w:r>
        </w:p>
        <w:p w:rsidR="00731E33" w:rsidRPr="00731E33" w:rsidRDefault="00731E33" w:rsidP="00731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eastAsia="Times New Roman" w:hAnsi="Book Antiqua" w:cs="Arial"/>
              <w:i/>
              <w:color w:val="000080"/>
              <w:sz w:val="16"/>
              <w:szCs w:val="16"/>
            </w:rPr>
          </w:pPr>
        </w:p>
      </w:tc>
    </w:tr>
  </w:tbl>
  <w:p w:rsidR="00731E33" w:rsidRDefault="00731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F6"/>
    <w:multiLevelType w:val="hybridMultilevel"/>
    <w:tmpl w:val="A682733E"/>
    <w:lvl w:ilvl="0" w:tplc="6C185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66BF7"/>
    <w:multiLevelType w:val="hybridMultilevel"/>
    <w:tmpl w:val="86C83F26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F102D"/>
    <w:multiLevelType w:val="hybridMultilevel"/>
    <w:tmpl w:val="8EB2C6FE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2161D"/>
    <w:multiLevelType w:val="hybridMultilevel"/>
    <w:tmpl w:val="31109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842BC"/>
    <w:multiLevelType w:val="hybridMultilevel"/>
    <w:tmpl w:val="29B69626"/>
    <w:lvl w:ilvl="0" w:tplc="CE705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65CAE"/>
    <w:multiLevelType w:val="hybridMultilevel"/>
    <w:tmpl w:val="CEFC2B3E"/>
    <w:lvl w:ilvl="0" w:tplc="730C2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94B11"/>
    <w:multiLevelType w:val="hybridMultilevel"/>
    <w:tmpl w:val="2D267404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605C4"/>
    <w:multiLevelType w:val="hybridMultilevel"/>
    <w:tmpl w:val="5372B0F0"/>
    <w:lvl w:ilvl="0" w:tplc="86C2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26849"/>
    <w:multiLevelType w:val="hybridMultilevel"/>
    <w:tmpl w:val="17187AF2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45D"/>
    <w:multiLevelType w:val="hybridMultilevel"/>
    <w:tmpl w:val="2A4866DA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26E6C"/>
    <w:multiLevelType w:val="hybridMultilevel"/>
    <w:tmpl w:val="A0FA1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712EB"/>
    <w:multiLevelType w:val="hybridMultilevel"/>
    <w:tmpl w:val="04383F40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A4271"/>
    <w:multiLevelType w:val="hybridMultilevel"/>
    <w:tmpl w:val="3E26C1EA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D19B4"/>
    <w:multiLevelType w:val="hybridMultilevel"/>
    <w:tmpl w:val="AE068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3624B"/>
    <w:multiLevelType w:val="hybridMultilevel"/>
    <w:tmpl w:val="485088EC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30908"/>
    <w:multiLevelType w:val="hybridMultilevel"/>
    <w:tmpl w:val="374CB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75404E"/>
    <w:multiLevelType w:val="hybridMultilevel"/>
    <w:tmpl w:val="5CB01F46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7270C"/>
    <w:multiLevelType w:val="hybridMultilevel"/>
    <w:tmpl w:val="702E1F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8E10E0"/>
    <w:multiLevelType w:val="hybridMultilevel"/>
    <w:tmpl w:val="20D6277C"/>
    <w:lvl w:ilvl="0" w:tplc="D1B22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16"/>
  </w:num>
  <w:num w:numId="7">
    <w:abstractNumId w:val="8"/>
  </w:num>
  <w:num w:numId="8">
    <w:abstractNumId w:val="18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2"/>
    <w:rsid w:val="000765F2"/>
    <w:rsid w:val="00080FE2"/>
    <w:rsid w:val="000918E3"/>
    <w:rsid w:val="000A7A61"/>
    <w:rsid w:val="00124CD8"/>
    <w:rsid w:val="00154AED"/>
    <w:rsid w:val="001862D7"/>
    <w:rsid w:val="00192C55"/>
    <w:rsid w:val="001D767F"/>
    <w:rsid w:val="001E355C"/>
    <w:rsid w:val="00234114"/>
    <w:rsid w:val="002F562F"/>
    <w:rsid w:val="003D6503"/>
    <w:rsid w:val="00445964"/>
    <w:rsid w:val="004A5662"/>
    <w:rsid w:val="004C6A17"/>
    <w:rsid w:val="00533F00"/>
    <w:rsid w:val="006A1BCB"/>
    <w:rsid w:val="00731E33"/>
    <w:rsid w:val="00741C5E"/>
    <w:rsid w:val="008B5F01"/>
    <w:rsid w:val="009326B9"/>
    <w:rsid w:val="009668C6"/>
    <w:rsid w:val="00993FDB"/>
    <w:rsid w:val="009B2C80"/>
    <w:rsid w:val="009C3CCA"/>
    <w:rsid w:val="009F4AF6"/>
    <w:rsid w:val="00A37D3E"/>
    <w:rsid w:val="00AB245E"/>
    <w:rsid w:val="00AD77FC"/>
    <w:rsid w:val="00B31AD0"/>
    <w:rsid w:val="00B43C07"/>
    <w:rsid w:val="00BC7DC2"/>
    <w:rsid w:val="00BE7967"/>
    <w:rsid w:val="00C52E72"/>
    <w:rsid w:val="00C6495F"/>
    <w:rsid w:val="00C65F24"/>
    <w:rsid w:val="00C66AC9"/>
    <w:rsid w:val="00C84E50"/>
    <w:rsid w:val="00E11F9F"/>
    <w:rsid w:val="00E14E34"/>
    <w:rsid w:val="00E70946"/>
    <w:rsid w:val="00E96F2F"/>
    <w:rsid w:val="00F07F16"/>
    <w:rsid w:val="00F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8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0F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80F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33"/>
  </w:style>
  <w:style w:type="paragraph" w:styleId="Footer">
    <w:name w:val="footer"/>
    <w:basedOn w:val="Normal"/>
    <w:link w:val="FooterChar"/>
    <w:uiPriority w:val="99"/>
    <w:unhideWhenUsed/>
    <w:rsid w:val="0073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8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0F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80F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33"/>
  </w:style>
  <w:style w:type="paragraph" w:styleId="Footer">
    <w:name w:val="footer"/>
    <w:basedOn w:val="Normal"/>
    <w:link w:val="FooterChar"/>
    <w:uiPriority w:val="99"/>
    <w:unhideWhenUsed/>
    <w:rsid w:val="0073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Total New Court Commitments and New Court Commitments with Mandatory Minimums by Race 2016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Race/Ethnicity Total NCC</c:v>
          </c:tx>
          <c:invertIfNegative val="0"/>
          <c:dLbls>
            <c:dLbl>
              <c:idx val="0"/>
              <c:layout>
                <c:manualLayout>
                  <c:x val="4.7372407099609274E-18"/>
                  <c:y val="1.6941971479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Sheet1!$B$4:$B$10</c:f>
              <c:strCache>
                <c:ptCount val="7"/>
                <c:pt idx="0">
                  <c:v>White</c:v>
                </c:pt>
                <c:pt idx="1">
                  <c:v>Hispanic</c:v>
                </c:pt>
                <c:pt idx="2">
                  <c:v>Black</c:v>
                </c:pt>
                <c:pt idx="3">
                  <c:v>Other</c:v>
                </c:pt>
                <c:pt idx="4">
                  <c:v>Asian</c:v>
                </c:pt>
                <c:pt idx="5">
                  <c:v>American Indian/ Native Alaskan</c:v>
                </c:pt>
                <c:pt idx="6">
                  <c:v>Native Hawaiian/ Pacific Islander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1098</c:v>
                </c:pt>
                <c:pt idx="1">
                  <c:v>522</c:v>
                </c:pt>
                <c:pt idx="2">
                  <c:v>510</c:v>
                </c:pt>
                <c:pt idx="3">
                  <c:v>42</c:v>
                </c:pt>
                <c:pt idx="4">
                  <c:v>18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v>Race/Ethnicity Mandatory Minimums NCC</c:v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Sheet1!$D$4:$D$10</c:f>
              <c:numCache>
                <c:formatCode>General</c:formatCode>
                <c:ptCount val="7"/>
                <c:pt idx="0">
                  <c:v>183</c:v>
                </c:pt>
                <c:pt idx="1">
                  <c:v>179</c:v>
                </c:pt>
                <c:pt idx="2">
                  <c:v>152</c:v>
                </c:pt>
                <c:pt idx="3">
                  <c:v>7</c:v>
                </c:pt>
                <c:pt idx="4">
                  <c:v>9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704512"/>
        <c:axId val="159363584"/>
      </c:barChart>
      <c:catAx>
        <c:axId val="1447045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9363584"/>
        <c:crosses val="autoZero"/>
        <c:auto val="1"/>
        <c:lblAlgn val="ctr"/>
        <c:lblOffset val="100"/>
        <c:noMultiLvlLbl val="0"/>
      </c:catAx>
      <c:valAx>
        <c:axId val="159363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704512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Percentage</a:t>
            </a:r>
            <a:r>
              <a:rPr lang="en-US" sz="1200" baseline="0"/>
              <a:t> by Race for Mandatory Minimum New Court Commitments 2016</a:t>
            </a:r>
            <a:endParaRPr lang="en-US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721744258811559E-2"/>
          <c:y val="0.19674947608293147"/>
          <c:w val="0.76575068768205001"/>
          <c:h val="0.517756210706219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Sheet1!$B$24:$B$30</c:f>
              <c:strCache>
                <c:ptCount val="7"/>
                <c:pt idx="0">
                  <c:v>White</c:v>
                </c:pt>
                <c:pt idx="1">
                  <c:v>Hispanic</c:v>
                </c:pt>
                <c:pt idx="2">
                  <c:v>Black</c:v>
                </c:pt>
                <c:pt idx="3">
                  <c:v>Other</c:v>
                </c:pt>
                <c:pt idx="4">
                  <c:v>Asian</c:v>
                </c:pt>
                <c:pt idx="5">
                  <c:v>American Indian/ Native Alaskan</c:v>
                </c:pt>
                <c:pt idx="6">
                  <c:v>Native Hawaiian/ Pacific Islander</c:v>
                </c:pt>
              </c:strCache>
            </c:strRef>
          </c:cat>
          <c:val>
            <c:numRef>
              <c:f>Sheet1!$C$24:$C$30</c:f>
              <c:numCache>
                <c:formatCode>0%</c:formatCode>
                <c:ptCount val="7"/>
                <c:pt idx="0">
                  <c:v>0.16666666666666666</c:v>
                </c:pt>
                <c:pt idx="1">
                  <c:v>0.34291187739463602</c:v>
                </c:pt>
                <c:pt idx="2">
                  <c:v>0.29803921568627451</c:v>
                </c:pt>
                <c:pt idx="3">
                  <c:v>0.16666666666666666</c:v>
                </c:pt>
                <c:pt idx="4">
                  <c:v>0.5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967040"/>
        <c:axId val="159365312"/>
      </c:barChart>
      <c:catAx>
        <c:axId val="146967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59365312"/>
        <c:crosses val="autoZero"/>
        <c:auto val="1"/>
        <c:lblAlgn val="ctr"/>
        <c:lblOffset val="100"/>
        <c:noMultiLvlLbl val="0"/>
      </c:catAx>
      <c:valAx>
        <c:axId val="159365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96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Total Drug </a:t>
            </a:r>
            <a:r>
              <a:rPr lang="en-US" sz="1200" b="1" i="0" u="none" strike="noStrike" baseline="0">
                <a:effectLst/>
              </a:rPr>
              <a:t>New Court Commitments </a:t>
            </a:r>
            <a:r>
              <a:rPr lang="en-US" sz="1200"/>
              <a:t>and Drug</a:t>
            </a:r>
            <a:r>
              <a:rPr lang="en-US" sz="1200" baseline="0"/>
              <a:t> </a:t>
            </a:r>
            <a:r>
              <a:rPr lang="en-US" sz="1200" b="1" i="0" u="none" strike="noStrike" baseline="0">
                <a:effectLst/>
              </a:rPr>
              <a:t>New Court Commitments </a:t>
            </a:r>
            <a:r>
              <a:rPr lang="en-US" sz="1200"/>
              <a:t>with Mandatory Minumums by Race 2016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Race/Ethnicity Total NCC</c:v>
          </c:tx>
          <c:invertIfNegative val="0"/>
          <c:dLbls>
            <c:dLbl>
              <c:idx val="1"/>
              <c:layout>
                <c:manualLayout>
                  <c:x val="-4.3744531936054577E-7"/>
                  <c:y val="9.2592592592592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Sheet1!$B$14:$B$19</c:f>
              <c:strCache>
                <c:ptCount val="6"/>
                <c:pt idx="0">
                  <c:v>White</c:v>
                </c:pt>
                <c:pt idx="1">
                  <c:v>Hispanic</c:v>
                </c:pt>
                <c:pt idx="2">
                  <c:v>Black</c:v>
                </c:pt>
                <c:pt idx="3">
                  <c:v>Other</c:v>
                </c:pt>
                <c:pt idx="4">
                  <c:v>Asian</c:v>
                </c:pt>
                <c:pt idx="5">
                  <c:v>Native Hawaiian/ Pacific Islander</c:v>
                </c:pt>
              </c:strCache>
            </c:strRef>
          </c:cat>
          <c:val>
            <c:numRef>
              <c:f>Sheet1!$C$14:$C$19</c:f>
              <c:numCache>
                <c:formatCode>General</c:formatCode>
                <c:ptCount val="6"/>
                <c:pt idx="0">
                  <c:v>179</c:v>
                </c:pt>
                <c:pt idx="1">
                  <c:v>211</c:v>
                </c:pt>
                <c:pt idx="2">
                  <c:v>116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v>Race/Ethnicity Mandatory Minimums NCC</c:v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Sheet1!$D$14:$D$19</c:f>
              <c:numCache>
                <c:formatCode>General</c:formatCode>
                <c:ptCount val="6"/>
                <c:pt idx="0">
                  <c:v>55</c:v>
                </c:pt>
                <c:pt idx="1">
                  <c:v>114</c:v>
                </c:pt>
                <c:pt idx="2">
                  <c:v>67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3530880"/>
        <c:axId val="159366464"/>
      </c:barChart>
      <c:catAx>
        <c:axId val="1535308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9366464"/>
        <c:crosses val="autoZero"/>
        <c:auto val="1"/>
        <c:lblAlgn val="ctr"/>
        <c:lblOffset val="100"/>
        <c:noMultiLvlLbl val="0"/>
      </c:catAx>
      <c:valAx>
        <c:axId val="159366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530880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Percent by Race for Mandatory</a:t>
            </a:r>
            <a:r>
              <a:rPr lang="en-US" sz="1200" baseline="0"/>
              <a:t> Minimum Drug Commitments 2016</a:t>
            </a:r>
            <a:endParaRPr lang="en-US" sz="1200"/>
          </a:p>
        </c:rich>
      </c:tx>
      <c:layout>
        <c:manualLayout>
          <c:xMode val="edge"/>
          <c:yMode val="edge"/>
          <c:x val="0.10522922134733159"/>
          <c:y val="3.703703703703703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93285214348207"/>
          <c:y val="0.16294745509752456"/>
          <c:w val="0.71826246719160103"/>
          <c:h val="0.5407556996551902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Sheet1!$B$33:$B$38</c:f>
              <c:strCache>
                <c:ptCount val="6"/>
                <c:pt idx="0">
                  <c:v>White</c:v>
                </c:pt>
                <c:pt idx="1">
                  <c:v>Hispanic</c:v>
                </c:pt>
                <c:pt idx="2">
                  <c:v>Black</c:v>
                </c:pt>
                <c:pt idx="3">
                  <c:v>Other</c:v>
                </c:pt>
                <c:pt idx="4">
                  <c:v>Asian</c:v>
                </c:pt>
                <c:pt idx="5">
                  <c:v>Native Hawaiian/ Pacific Islander</c:v>
                </c:pt>
              </c:strCache>
            </c:strRef>
          </c:cat>
          <c:val>
            <c:numRef>
              <c:f>Sheet1!$C$33:$C$38</c:f>
              <c:numCache>
                <c:formatCode>0%</c:formatCode>
                <c:ptCount val="6"/>
                <c:pt idx="0">
                  <c:v>0.30726256983240224</c:v>
                </c:pt>
                <c:pt idx="1">
                  <c:v>0.54028436018957349</c:v>
                </c:pt>
                <c:pt idx="2">
                  <c:v>0.57758620689655171</c:v>
                </c:pt>
                <c:pt idx="3">
                  <c:v>0.36363636363636365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530368"/>
        <c:axId val="170584320"/>
      </c:barChart>
      <c:catAx>
        <c:axId val="15353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584320"/>
        <c:crosses val="autoZero"/>
        <c:auto val="1"/>
        <c:lblAlgn val="ctr"/>
        <c:lblOffset val="100"/>
        <c:noMultiLvlLbl val="0"/>
      </c:catAx>
      <c:valAx>
        <c:axId val="170584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353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0.37708</cdr:x>
      <cdr:y>0.09271</cdr:y>
    </cdr:from>
    <cdr:to>
      <cdr:x>0.60208</cdr:x>
      <cdr:y>0.10938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24026" y="254319"/>
          <a:ext cx="10287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EBAF-BDAA-42BF-AFDA-5C1311DF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Rhiana Kohl</dc:creator>
  <cp:lastModifiedBy>Rhiana Kohl</cp:lastModifiedBy>
  <cp:revision>2</cp:revision>
  <dcterms:created xsi:type="dcterms:W3CDTF">2017-01-05T21:41:00Z</dcterms:created>
  <dcterms:modified xsi:type="dcterms:W3CDTF">2017-01-05T21:41:00Z</dcterms:modified>
</cp:coreProperties>
</file>