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16C" w:rsidRDefault="00D4316C" w:rsidP="00D4316C">
      <w:pP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-46990</wp:posOffset>
                </wp:positionV>
                <wp:extent cx="5943600" cy="961390"/>
                <wp:effectExtent l="6350" t="8255" r="1270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61390"/>
                        </a:xfrm>
                        <a:prstGeom prst="rect">
                          <a:avLst/>
                        </a:prstGeom>
                        <a:solidFill>
                          <a:srgbClr val="000000"/>
                        </a:solidFill>
                        <a:ln w="12700">
                          <a:solidFill>
                            <a:srgbClr val="FFFFFF"/>
                          </a:solidFill>
                          <a:miter lim="800000"/>
                          <a:headEnd/>
                          <a:tailEnd/>
                        </a:ln>
                      </wps:spPr>
                      <wps:txbx>
                        <w:txbxContent>
                          <w:p w:rsidR="00D4316C" w:rsidRPr="00805934" w:rsidRDefault="00D4316C" w:rsidP="00D4316C">
                            <w:pPr>
                              <w:jc w:val="center"/>
                              <w:rPr>
                                <w:b/>
                                <w:color w:val="FFFFFF"/>
                                <w:sz w:val="28"/>
                                <w:szCs w:val="28"/>
                              </w:rPr>
                            </w:pPr>
                            <w:r w:rsidRPr="00805934">
                              <w:rPr>
                                <w:b/>
                                <w:color w:val="FFFFFF"/>
                                <w:sz w:val="28"/>
                                <w:szCs w:val="28"/>
                              </w:rPr>
                              <w:t xml:space="preserve">FACTSHEET </w:t>
                            </w:r>
                          </w:p>
                          <w:p w:rsidR="00D4316C" w:rsidRPr="00805934" w:rsidRDefault="00D4316C" w:rsidP="00D4316C">
                            <w:pPr>
                              <w:jc w:val="center"/>
                              <w:rPr>
                                <w:b/>
                                <w:sz w:val="28"/>
                                <w:szCs w:val="28"/>
                              </w:rPr>
                            </w:pPr>
                            <w:r>
                              <w:rPr>
                                <w:b/>
                                <w:color w:val="FFFFFF"/>
                                <w:sz w:val="28"/>
                                <w:szCs w:val="28"/>
                              </w:rPr>
                              <w:t>H. 1</w:t>
                            </w:r>
                            <w:r w:rsidR="002777FD">
                              <w:rPr>
                                <w:b/>
                                <w:color w:val="FFFFFF"/>
                                <w:sz w:val="28"/>
                                <w:szCs w:val="28"/>
                              </w:rPr>
                              <w:t>25</w:t>
                            </w:r>
                            <w:r>
                              <w:rPr>
                                <w:b/>
                                <w:color w:val="FFFFFF"/>
                                <w:sz w:val="28"/>
                                <w:szCs w:val="28"/>
                              </w:rPr>
                              <w:t xml:space="preserve">, </w:t>
                            </w:r>
                            <w:proofErr w:type="gramStart"/>
                            <w:r w:rsidRPr="00805934">
                              <w:rPr>
                                <w:b/>
                                <w:color w:val="FFFFFF"/>
                                <w:sz w:val="28"/>
                                <w:szCs w:val="28"/>
                              </w:rPr>
                              <w:t>An</w:t>
                            </w:r>
                            <w:proofErr w:type="gramEnd"/>
                            <w:r w:rsidRPr="00805934">
                              <w:rPr>
                                <w:b/>
                                <w:color w:val="FFFFFF"/>
                                <w:sz w:val="28"/>
                                <w:szCs w:val="28"/>
                              </w:rPr>
                              <w:t xml:space="preserve"> Act Ensuring Equal Access to Services for All Residents of the Commonwealth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pt;margin-top:-3.7pt;width:468pt;height:7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" fillcolor="black" strokecolor="white" strokeweight="1pt">
                <v:textbox>
                  <w:txbxContent>
                    <w:p w:rsidR="00D4316C" w:rsidRPr="00805934" w:rsidRDefault="00D4316C" w:rsidP="00D4316C">
                      <w:pPr>
                        <w:jc w:val="center"/>
                        <w:rPr>
                          <w:b/>
                          <w:color w:val="FFFFFF"/>
                          <w:sz w:val="28"/>
                          <w:szCs w:val="28"/>
                        </w:rPr>
                      </w:pPr>
                      <w:r w:rsidRPr="00805934">
                        <w:rPr>
                          <w:b/>
                          <w:color w:val="FFFFFF"/>
                          <w:sz w:val="28"/>
                          <w:szCs w:val="28"/>
                        </w:rPr>
                        <w:t xml:space="preserve">FACTSHEET </w:t>
                      </w:r>
                    </w:p>
                    <w:p w:rsidR="00D4316C" w:rsidRPr="00805934" w:rsidRDefault="00D4316C" w:rsidP="00D4316C">
                      <w:pPr>
                        <w:jc w:val="center"/>
                        <w:rPr>
                          <w:b/>
                          <w:sz w:val="28"/>
                          <w:szCs w:val="28"/>
                        </w:rPr>
                      </w:pPr>
                      <w:r>
                        <w:rPr>
                          <w:b/>
                          <w:color w:val="FFFFFF"/>
                          <w:sz w:val="28"/>
                          <w:szCs w:val="28"/>
                        </w:rPr>
                        <w:t>H. 1</w:t>
                      </w:r>
                      <w:r w:rsidR="002777FD">
                        <w:rPr>
                          <w:b/>
                          <w:color w:val="FFFFFF"/>
                          <w:sz w:val="28"/>
                          <w:szCs w:val="28"/>
                        </w:rPr>
                        <w:t>25</w:t>
                      </w:r>
                      <w:r>
                        <w:rPr>
                          <w:b/>
                          <w:color w:val="FFFFFF"/>
                          <w:sz w:val="28"/>
                          <w:szCs w:val="28"/>
                        </w:rPr>
                        <w:t xml:space="preserve">, </w:t>
                      </w:r>
                      <w:proofErr w:type="gramStart"/>
                      <w:r w:rsidRPr="00805934">
                        <w:rPr>
                          <w:b/>
                          <w:color w:val="FFFFFF"/>
                          <w:sz w:val="28"/>
                          <w:szCs w:val="28"/>
                        </w:rPr>
                        <w:t>An</w:t>
                      </w:r>
                      <w:proofErr w:type="gramEnd"/>
                      <w:r w:rsidRPr="00805934">
                        <w:rPr>
                          <w:b/>
                          <w:color w:val="FFFFFF"/>
                          <w:sz w:val="28"/>
                          <w:szCs w:val="28"/>
                        </w:rPr>
                        <w:t xml:space="preserve"> Act Ensuring Equal Access to Services for All Residents of the Commonwealth</w:t>
                      </w:r>
                    </w:p>
                  </w:txbxContent>
                </v:textbox>
              </v:shape>
            </w:pict>
          </mc:Fallback>
        </mc:AlternateContent>
      </w:r>
    </w:p>
    <w:p w:rsidR="00D4316C" w:rsidRDefault="00D4316C" w:rsidP="00D4316C">
      <w:pPr>
        <w:rPr>
          <w:b/>
        </w:rPr>
      </w:pPr>
      <w:r>
        <w:rPr>
          <w:b/>
          <w:noProof/>
        </w:rPr>
        <mc:AlternateContent>
          <mc:Choice Requires="wpc">
            <w:drawing>
              <wp:inline distT="0" distB="0" distL="0" distR="0">
                <wp:extent cx="5943600" cy="800100"/>
                <wp:effectExtent l="0" t="11430" r="9525"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114300" y="0"/>
                            <a:ext cx="5829300" cy="685906"/>
                          </a:xfrm>
                          <a:prstGeom prst="rect">
                            <a:avLst/>
                          </a:prstGeom>
                          <a:solidFill>
                            <a:srgbClr val="000000"/>
                          </a:solidFill>
                          <a:ln w="9525">
                            <a:solidFill>
                              <a:srgbClr val="000000"/>
                            </a:solidFill>
                            <a:miter lim="800000"/>
                            <a:headEnd/>
                            <a:tailEnd/>
                          </a:ln>
                        </wps:spPr>
                        <wps:txbx>
                          <w:txbxContent>
                            <w:p w:rsidR="00D4316C" w:rsidRDefault="00D4316C" w:rsidP="00D4316C"/>
                          </w:txbxContent>
                        </wps:txbx>
                        <wps:bodyPr rot="0" vert="horz" wrap="square" lIns="91440" tIns="45720" rIns="91440" bIns="18288" anchor="t" anchorCtr="0" upright="1">
                          <a:noAutofit/>
                        </wps:bodyPr>
                      </wps:wsp>
                    </wpc:wpc>
                  </a:graphicData>
                </a:graphic>
              </wp:inline>
            </w:drawing>
          </mc:Choice>
          <mc:Fallback>
            <w:pict>
              <v:group id="Canvas 2" o:spid="_x0000_s1027" editas="canvas" style="width:468pt;height:63pt;mso-position-horizontal-relative:char;mso-position-vertical-relative:line" coordsize="59436,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36;height:8001;visibility:visible;mso-wrap-style:square">
                  <v:fill o:detectmouseclick="t"/>
                  <v:path o:connecttype="none"/>
                </v:shape>
                <v:shape id="Text Box 4" o:spid="_x0000_s1029" type="#_x0000_t202" style="position:absolute;left:1143;width:58293;height:6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YTOL8A&#10;AADaAAAADwAAAGRycy9kb3ducmV2LnhtbERPS4vCMBC+C/6HMMLeNNXDIl2jrI+CIB6sHjwOzWxb&#10;tpnUJrb13xtB8DR8fM9ZrHpTiZYaV1pWMJ1EIIgzq0vOFVzOyXgOwnlkjZVlUvAgB6vlcLDAWNuO&#10;T9SmPhchhF2MCgrv61hKlxVk0E1sTRy4P9sY9AE2udQNdiHcVHIWRd/SYMmhocCaNgVl/+ndKDh0&#10;2931ekiP637eehvtE3K3RKmvUf/7A8JT7z/it3uvw3x4vfK6c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phM4vwAAANoAAAAPAAAAAAAAAAAAAAAAAJgCAABkcnMvZG93bnJl&#10;di54bWxQSwUGAAAAAAQABAD1AAAAhAMAAAAA&#10;" fillcolor="black">
                  <v:textbox inset=",,,1.44pt">
                    <w:txbxContent>
                      <w:p w:rsidR="00D4316C" w:rsidRDefault="00D4316C" w:rsidP="00D4316C"/>
                    </w:txbxContent>
                  </v:textbox>
                </v:shape>
                <w10:anchorlock/>
              </v:group>
            </w:pict>
          </mc:Fallback>
        </mc:AlternateContent>
      </w:r>
    </w:p>
    <w:p w:rsidR="00D4316C" w:rsidRPr="00894402" w:rsidRDefault="00D4316C" w:rsidP="00D4316C">
      <w:pPr>
        <w:tabs>
          <w:tab w:val="left" w:pos="2340"/>
        </w:tabs>
        <w:jc w:val="both"/>
        <w:rPr>
          <w:b/>
          <w:sz w:val="22"/>
          <w:szCs w:val="22"/>
        </w:rPr>
      </w:pPr>
      <w:r w:rsidRPr="00894402">
        <w:rPr>
          <w:b/>
          <w:sz w:val="22"/>
          <w:szCs w:val="22"/>
        </w:rPr>
        <w:t>Lead Sponsor:</w:t>
      </w:r>
      <w:r w:rsidRPr="00894402">
        <w:rPr>
          <w:b/>
          <w:sz w:val="22"/>
          <w:szCs w:val="22"/>
        </w:rPr>
        <w:tab/>
        <w:t>Representative Byron Rushing</w:t>
      </w:r>
    </w:p>
    <w:p w:rsidR="00D4316C" w:rsidRDefault="00D4316C" w:rsidP="00D4316C">
      <w:pPr>
        <w:tabs>
          <w:tab w:val="left" w:pos="2340"/>
        </w:tabs>
        <w:jc w:val="both"/>
        <w:rPr>
          <w:b/>
          <w:sz w:val="22"/>
          <w:szCs w:val="22"/>
        </w:rPr>
      </w:pPr>
      <w:r w:rsidRPr="00894402">
        <w:rPr>
          <w:b/>
          <w:sz w:val="22"/>
          <w:szCs w:val="22"/>
        </w:rPr>
        <w:t>Legislative Session:</w:t>
      </w:r>
      <w:r w:rsidRPr="00894402">
        <w:rPr>
          <w:b/>
          <w:sz w:val="22"/>
          <w:szCs w:val="22"/>
        </w:rPr>
        <w:tab/>
      </w:r>
      <w:r>
        <w:rPr>
          <w:b/>
          <w:sz w:val="22"/>
          <w:szCs w:val="22"/>
        </w:rPr>
        <w:t>201</w:t>
      </w:r>
      <w:r w:rsidR="002777FD">
        <w:rPr>
          <w:b/>
          <w:sz w:val="22"/>
          <w:szCs w:val="22"/>
        </w:rPr>
        <w:t>5</w:t>
      </w:r>
      <w:r>
        <w:rPr>
          <w:b/>
          <w:sz w:val="22"/>
          <w:szCs w:val="22"/>
        </w:rPr>
        <w:t>-1</w:t>
      </w:r>
      <w:r w:rsidR="002777FD">
        <w:rPr>
          <w:b/>
          <w:sz w:val="22"/>
          <w:szCs w:val="22"/>
        </w:rPr>
        <w:t>6</w:t>
      </w:r>
      <w:bookmarkStart w:id="0" w:name="_GoBack"/>
      <w:bookmarkEnd w:id="0"/>
    </w:p>
    <w:p w:rsidR="00D4316C" w:rsidRPr="00894402" w:rsidRDefault="00D4316C" w:rsidP="00D4316C">
      <w:pPr>
        <w:jc w:val="both"/>
        <w:rPr>
          <w:sz w:val="22"/>
          <w:szCs w:val="22"/>
        </w:rPr>
      </w:pPr>
    </w:p>
    <w:p w:rsidR="00D4316C" w:rsidRPr="00894402" w:rsidRDefault="00D4316C" w:rsidP="00D4316C">
      <w:pPr>
        <w:jc w:val="both"/>
        <w:rPr>
          <w:b/>
          <w:sz w:val="22"/>
          <w:szCs w:val="22"/>
        </w:rPr>
      </w:pPr>
      <w:r>
        <w:rPr>
          <w:b/>
          <w:sz w:val="22"/>
          <w:szCs w:val="22"/>
        </w:rPr>
        <w:t>What this bill would do:</w:t>
      </w:r>
    </w:p>
    <w:p w:rsidR="00D4316C" w:rsidRPr="00894402" w:rsidRDefault="00D4316C" w:rsidP="00D4316C">
      <w:pPr>
        <w:ind w:right="-360"/>
        <w:jc w:val="both"/>
        <w:rPr>
          <w:sz w:val="22"/>
          <w:szCs w:val="22"/>
        </w:rPr>
      </w:pPr>
      <w:r w:rsidRPr="00894402">
        <w:rPr>
          <w:sz w:val="22"/>
          <w:szCs w:val="22"/>
        </w:rPr>
        <w:t>This bill seeks to put into law the Commonwealth's support of immigration and willingness to help residents obtain legal immigration status and citizenship.  It would also prevent actions or regulations by the Commonwealth that would present barriers to these goals.</w:t>
      </w:r>
    </w:p>
    <w:p w:rsidR="00D4316C" w:rsidRPr="00894402" w:rsidRDefault="00D4316C" w:rsidP="00D4316C">
      <w:pPr>
        <w:ind w:right="-360"/>
        <w:jc w:val="both"/>
        <w:rPr>
          <w:sz w:val="22"/>
          <w:szCs w:val="22"/>
        </w:rPr>
      </w:pPr>
    </w:p>
    <w:p w:rsidR="00D4316C" w:rsidRDefault="00D4316C" w:rsidP="00D4316C">
      <w:pPr>
        <w:ind w:right="-360"/>
        <w:jc w:val="both"/>
        <w:rPr>
          <w:sz w:val="22"/>
          <w:szCs w:val="22"/>
        </w:rPr>
      </w:pPr>
      <w:r w:rsidRPr="00894402">
        <w:rPr>
          <w:sz w:val="22"/>
          <w:szCs w:val="22"/>
        </w:rPr>
        <w:t>Specifically, H.</w:t>
      </w:r>
      <w:r>
        <w:rPr>
          <w:sz w:val="22"/>
          <w:szCs w:val="22"/>
        </w:rPr>
        <w:t xml:space="preserve"> 147</w:t>
      </w:r>
      <w:r w:rsidRPr="00894402">
        <w:rPr>
          <w:sz w:val="22"/>
          <w:szCs w:val="22"/>
        </w:rPr>
        <w:t xml:space="preserve"> would add a new section to Chapter 30 of the Massachusetts General Laws that would:</w:t>
      </w:r>
    </w:p>
    <w:p w:rsidR="00D4316C" w:rsidRDefault="00D4316C" w:rsidP="00D4316C">
      <w:pPr>
        <w:ind w:right="-360"/>
        <w:jc w:val="both"/>
        <w:rPr>
          <w:sz w:val="22"/>
          <w:szCs w:val="22"/>
        </w:rPr>
      </w:pPr>
    </w:p>
    <w:p w:rsidR="00D4316C" w:rsidRDefault="00D4316C" w:rsidP="00D4316C">
      <w:pPr>
        <w:numPr>
          <w:ilvl w:val="0"/>
          <w:numId w:val="1"/>
        </w:numPr>
        <w:ind w:right="-360"/>
        <w:jc w:val="both"/>
        <w:rPr>
          <w:sz w:val="22"/>
          <w:szCs w:val="22"/>
        </w:rPr>
      </w:pPr>
      <w:r w:rsidRPr="00894402">
        <w:rPr>
          <w:sz w:val="22"/>
          <w:szCs w:val="22"/>
        </w:rPr>
        <w:t>State that it is the policy of the Commonwealth to "support</w:t>
      </w:r>
      <w:r>
        <w:rPr>
          <w:sz w:val="22"/>
          <w:szCs w:val="22"/>
        </w:rPr>
        <w:t xml:space="preserve"> and encourage any residents in </w:t>
      </w:r>
      <w:r w:rsidRPr="00894402">
        <w:rPr>
          <w:sz w:val="22"/>
          <w:szCs w:val="22"/>
        </w:rPr>
        <w:t>their attempt to obtain legal immigration status and, if they choose, citizenship."</w:t>
      </w:r>
    </w:p>
    <w:p w:rsidR="00D4316C" w:rsidRDefault="00D4316C" w:rsidP="00D4316C">
      <w:pPr>
        <w:numPr>
          <w:ilvl w:val="0"/>
          <w:numId w:val="1"/>
        </w:numPr>
        <w:ind w:right="-360"/>
        <w:jc w:val="both"/>
        <w:rPr>
          <w:sz w:val="22"/>
          <w:szCs w:val="22"/>
        </w:rPr>
      </w:pPr>
      <w:r>
        <w:rPr>
          <w:sz w:val="22"/>
          <w:szCs w:val="22"/>
        </w:rPr>
        <w:t>Preven</w:t>
      </w:r>
      <w:r w:rsidRPr="00894402">
        <w:rPr>
          <w:sz w:val="22"/>
          <w:szCs w:val="22"/>
        </w:rPr>
        <w:t>t regulations or requirements denying assistance or participation in state programs on the basis of immigration status, except as requi</w:t>
      </w:r>
      <w:r>
        <w:rPr>
          <w:sz w:val="22"/>
          <w:szCs w:val="22"/>
        </w:rPr>
        <w:t>red by federal or state statute</w:t>
      </w:r>
      <w:r w:rsidRPr="00894402">
        <w:rPr>
          <w:sz w:val="22"/>
          <w:szCs w:val="22"/>
        </w:rPr>
        <w:t xml:space="preserve"> or </w:t>
      </w:r>
      <w:proofErr w:type="gramStart"/>
      <w:r>
        <w:rPr>
          <w:sz w:val="22"/>
          <w:szCs w:val="22"/>
        </w:rPr>
        <w:t xml:space="preserve">by  </w:t>
      </w:r>
      <w:r w:rsidRPr="00894402">
        <w:rPr>
          <w:sz w:val="22"/>
          <w:szCs w:val="22"/>
        </w:rPr>
        <w:t>court</w:t>
      </w:r>
      <w:proofErr w:type="gramEnd"/>
      <w:r w:rsidRPr="00894402">
        <w:rPr>
          <w:sz w:val="22"/>
          <w:szCs w:val="22"/>
        </w:rPr>
        <w:t xml:space="preserve"> decision.</w:t>
      </w:r>
    </w:p>
    <w:p w:rsidR="00D4316C" w:rsidRPr="00894402" w:rsidRDefault="00D4316C" w:rsidP="00D4316C">
      <w:pPr>
        <w:numPr>
          <w:ilvl w:val="0"/>
          <w:numId w:val="1"/>
        </w:numPr>
        <w:ind w:right="-360"/>
        <w:jc w:val="both"/>
        <w:rPr>
          <w:sz w:val="22"/>
          <w:szCs w:val="22"/>
        </w:rPr>
      </w:pPr>
      <w:r w:rsidRPr="00894402">
        <w:rPr>
          <w:sz w:val="22"/>
          <w:szCs w:val="22"/>
        </w:rPr>
        <w:t xml:space="preserve">Prohibit agencies and employees of the Commonwealth from inquiring into an individual’s immigration status or sharing such information with others, unless required by federal or state </w:t>
      </w:r>
      <w:r>
        <w:rPr>
          <w:sz w:val="22"/>
          <w:szCs w:val="22"/>
        </w:rPr>
        <w:t>law or court decision</w:t>
      </w:r>
      <w:r w:rsidRPr="00894402">
        <w:rPr>
          <w:sz w:val="22"/>
          <w:szCs w:val="22"/>
        </w:rPr>
        <w:t>.</w:t>
      </w:r>
    </w:p>
    <w:p w:rsidR="00D4316C" w:rsidRPr="00894402" w:rsidRDefault="00D4316C" w:rsidP="00D4316C">
      <w:pPr>
        <w:ind w:right="-360"/>
        <w:jc w:val="both"/>
        <w:rPr>
          <w:sz w:val="22"/>
          <w:szCs w:val="22"/>
        </w:rPr>
      </w:pPr>
    </w:p>
    <w:p w:rsidR="00D4316C" w:rsidRPr="00894402" w:rsidRDefault="00D4316C" w:rsidP="00D4316C">
      <w:pPr>
        <w:ind w:right="-360"/>
        <w:jc w:val="both"/>
        <w:rPr>
          <w:sz w:val="22"/>
          <w:szCs w:val="22"/>
        </w:rPr>
      </w:pPr>
      <w:r w:rsidRPr="00894402">
        <w:rPr>
          <w:sz w:val="22"/>
          <w:szCs w:val="22"/>
        </w:rPr>
        <w:t>Nothing in the bill would prohibit agencies or employees of the Commonwealth from requesting information regarding alienage or immigration status in order to secure federal reimbursement for a spec</w:t>
      </w:r>
      <w:r>
        <w:rPr>
          <w:sz w:val="22"/>
          <w:szCs w:val="22"/>
        </w:rPr>
        <w:t>ific program</w:t>
      </w:r>
      <w:r w:rsidRPr="00894402">
        <w:rPr>
          <w:sz w:val="22"/>
          <w:szCs w:val="22"/>
        </w:rPr>
        <w:t xml:space="preserve"> or to assist an individual in resolving an immigration</w:t>
      </w:r>
      <w:r>
        <w:rPr>
          <w:sz w:val="22"/>
          <w:szCs w:val="22"/>
        </w:rPr>
        <w:t>-related</w:t>
      </w:r>
      <w:r w:rsidRPr="00894402">
        <w:rPr>
          <w:sz w:val="22"/>
          <w:szCs w:val="22"/>
        </w:rPr>
        <w:t xml:space="preserve"> question.</w:t>
      </w:r>
    </w:p>
    <w:p w:rsidR="00D4316C" w:rsidRPr="00894402" w:rsidRDefault="00D4316C" w:rsidP="00D4316C">
      <w:pPr>
        <w:jc w:val="both"/>
        <w:rPr>
          <w:b/>
          <w:sz w:val="22"/>
          <w:szCs w:val="22"/>
        </w:rPr>
      </w:pPr>
    </w:p>
    <w:p w:rsidR="00D4316C" w:rsidRDefault="00D4316C" w:rsidP="00D4316C">
      <w:pPr>
        <w:jc w:val="both"/>
        <w:rPr>
          <w:sz w:val="22"/>
          <w:szCs w:val="22"/>
        </w:rPr>
      </w:pPr>
      <w:r w:rsidRPr="00894402">
        <w:rPr>
          <w:sz w:val="22"/>
          <w:szCs w:val="22"/>
        </w:rPr>
        <w:t xml:space="preserve">The bill would establish in statute the protections of Governor Dukakis’ Executive Order #257 </w:t>
      </w:r>
      <w:r>
        <w:rPr>
          <w:sz w:val="22"/>
          <w:szCs w:val="22"/>
        </w:rPr>
        <w:t>(1985)</w:t>
      </w:r>
      <w:r w:rsidRPr="00894402">
        <w:rPr>
          <w:sz w:val="22"/>
          <w:szCs w:val="22"/>
        </w:rPr>
        <w:t>, which stated:</w:t>
      </w:r>
    </w:p>
    <w:p w:rsidR="00D4316C" w:rsidRPr="00894402" w:rsidRDefault="00D4316C" w:rsidP="00D4316C">
      <w:pPr>
        <w:jc w:val="both"/>
        <w:rPr>
          <w:sz w:val="22"/>
          <w:szCs w:val="22"/>
        </w:rPr>
      </w:pPr>
    </w:p>
    <w:p w:rsidR="00D4316C" w:rsidRPr="00894402" w:rsidRDefault="00D4316C" w:rsidP="00D4316C">
      <w:pPr>
        <w:ind w:left="720"/>
        <w:jc w:val="both"/>
        <w:rPr>
          <w:i/>
          <w:sz w:val="22"/>
          <w:szCs w:val="22"/>
        </w:rPr>
      </w:pPr>
      <w:r w:rsidRPr="00894402">
        <w:rPr>
          <w:i/>
          <w:sz w:val="22"/>
          <w:szCs w:val="22"/>
        </w:rPr>
        <w:t xml:space="preserve">No employee, agent or agency of the Commonwealth shall request information about, investigate, or assist in the investigation of the citizenship or residency status of any person unless such inquiry or investigation is required by federal statute, regulation, or court decision; nor shall any such employee, agent or agency disseminate information regarding the citizenship or residency status of any person unless similarly required to do so.  No employee, agent or agency shall condition the provision of benefits, opportunities or services on matters related to citizenship or residency status, unless required to do so by federal statute, regulation, or court decision.  </w:t>
      </w:r>
    </w:p>
    <w:p w:rsidR="00D4316C" w:rsidRDefault="00D4316C" w:rsidP="00D4316C">
      <w:pPr>
        <w:jc w:val="both"/>
        <w:rPr>
          <w:sz w:val="22"/>
          <w:szCs w:val="22"/>
        </w:rPr>
      </w:pPr>
    </w:p>
    <w:p w:rsidR="00D4316C" w:rsidRDefault="00D4316C" w:rsidP="00D4316C">
      <w:pPr>
        <w:jc w:val="both"/>
        <w:rPr>
          <w:sz w:val="22"/>
          <w:szCs w:val="22"/>
        </w:rPr>
      </w:pPr>
      <w:r w:rsidRPr="00894402">
        <w:rPr>
          <w:sz w:val="22"/>
          <w:szCs w:val="22"/>
        </w:rPr>
        <w:t>This order was revoked by Governo</w:t>
      </w:r>
      <w:r>
        <w:rPr>
          <w:sz w:val="22"/>
          <w:szCs w:val="22"/>
        </w:rPr>
        <w:t>r Weld’s Executive Order #361</w:t>
      </w:r>
      <w:r w:rsidRPr="00894402">
        <w:rPr>
          <w:sz w:val="22"/>
          <w:szCs w:val="22"/>
        </w:rPr>
        <w:t xml:space="preserve"> </w:t>
      </w:r>
      <w:r>
        <w:rPr>
          <w:sz w:val="22"/>
          <w:szCs w:val="22"/>
        </w:rPr>
        <w:t>(</w:t>
      </w:r>
      <w:r w:rsidRPr="00894402">
        <w:rPr>
          <w:sz w:val="22"/>
          <w:szCs w:val="22"/>
        </w:rPr>
        <w:t>1993</w:t>
      </w:r>
      <w:r>
        <w:rPr>
          <w:sz w:val="22"/>
          <w:szCs w:val="22"/>
        </w:rPr>
        <w:t>)</w:t>
      </w:r>
      <w:r w:rsidRPr="00894402">
        <w:rPr>
          <w:sz w:val="22"/>
          <w:szCs w:val="22"/>
        </w:rPr>
        <w:t xml:space="preserve"> on the basis that the Office for Refugees and Immigrants created in 1992 had the authority to “administer a transitional program for refugees and recent immigrants,” and Executive Order #257 was no longer necessary.</w:t>
      </w:r>
    </w:p>
    <w:p w:rsidR="00D4316C" w:rsidRDefault="00D4316C" w:rsidP="00D4316C">
      <w:pPr>
        <w:jc w:val="both"/>
        <w:rPr>
          <w:sz w:val="22"/>
          <w:szCs w:val="22"/>
        </w:rPr>
      </w:pPr>
    </w:p>
    <w:p w:rsidR="00D4316C" w:rsidRDefault="00D4316C" w:rsidP="00D4316C">
      <w:pPr>
        <w:jc w:val="both"/>
        <w:rPr>
          <w:sz w:val="22"/>
          <w:szCs w:val="22"/>
        </w:rPr>
      </w:pPr>
      <w:r>
        <w:rPr>
          <w:sz w:val="22"/>
          <w:szCs w:val="22"/>
        </w:rPr>
        <w:t>In Governor Patrick’s Executive Order #503 (2008), the only language which comes close to re-establishing this policy is:</w:t>
      </w:r>
    </w:p>
    <w:p w:rsidR="00D4316C" w:rsidRDefault="00D4316C" w:rsidP="00D4316C">
      <w:pPr>
        <w:jc w:val="both"/>
        <w:rPr>
          <w:sz w:val="22"/>
          <w:szCs w:val="22"/>
        </w:rPr>
      </w:pPr>
    </w:p>
    <w:p w:rsidR="00D4316C" w:rsidRPr="00E93B10" w:rsidRDefault="00D4316C" w:rsidP="00D4316C">
      <w:pPr>
        <w:ind w:left="720" w:hanging="720"/>
        <w:jc w:val="both"/>
        <w:rPr>
          <w:i/>
          <w:sz w:val="22"/>
          <w:szCs w:val="22"/>
        </w:rPr>
      </w:pPr>
      <w:r>
        <w:rPr>
          <w:sz w:val="22"/>
          <w:szCs w:val="22"/>
        </w:rPr>
        <w:tab/>
      </w:r>
      <w:r>
        <w:rPr>
          <w:i/>
          <w:sz w:val="22"/>
          <w:szCs w:val="22"/>
          <w:u w:val="single"/>
        </w:rPr>
        <w:t>Section 1</w:t>
      </w:r>
      <w:r>
        <w:rPr>
          <w:sz w:val="22"/>
          <w:szCs w:val="22"/>
        </w:rPr>
        <w:t xml:space="preserve">: </w:t>
      </w:r>
      <w:r>
        <w:rPr>
          <w:i/>
          <w:sz w:val="22"/>
          <w:szCs w:val="22"/>
        </w:rPr>
        <w:t xml:space="preserve">The Commonwealth of Massachusetts shall develop a New Americans Agenda, a comprehensive and strategic statewide approach to successfully integrate our </w:t>
      </w:r>
      <w:r>
        <w:rPr>
          <w:i/>
          <w:sz w:val="22"/>
          <w:szCs w:val="22"/>
        </w:rPr>
        <w:lastRenderedPageBreak/>
        <w:t xml:space="preserve">immigrant and refugee populations that builds upon the strengths of immigrants and refugees in the Commonwealth. The </w:t>
      </w:r>
      <w:bookmarkStart w:id="1" w:name="OLE_LINK1"/>
      <w:bookmarkStart w:id="2" w:name="OLE_LINK2"/>
      <w:r>
        <w:rPr>
          <w:i/>
          <w:sz w:val="22"/>
          <w:szCs w:val="22"/>
        </w:rPr>
        <w:t xml:space="preserve">New Americans Agenda will </w:t>
      </w:r>
      <w:bookmarkEnd w:id="1"/>
      <w:bookmarkEnd w:id="2"/>
      <w:r>
        <w:rPr>
          <w:i/>
          <w:sz w:val="22"/>
          <w:szCs w:val="22"/>
        </w:rPr>
        <w:t>help to ensure that these populations become self-sufficient and integrated members of our economy and communities as quickly as possible.</w:t>
      </w:r>
    </w:p>
    <w:p w:rsidR="00D4316C" w:rsidRPr="00894402" w:rsidRDefault="00D4316C" w:rsidP="00D4316C">
      <w:pPr>
        <w:jc w:val="both"/>
        <w:rPr>
          <w:sz w:val="22"/>
          <w:szCs w:val="22"/>
        </w:rPr>
      </w:pPr>
    </w:p>
    <w:p w:rsidR="00D4316C" w:rsidRPr="00036988" w:rsidRDefault="00D4316C" w:rsidP="00D4316C">
      <w:pPr>
        <w:jc w:val="both"/>
        <w:rPr>
          <w:b/>
          <w:sz w:val="22"/>
          <w:szCs w:val="22"/>
        </w:rPr>
      </w:pPr>
      <w:r>
        <w:rPr>
          <w:b/>
          <w:sz w:val="22"/>
          <w:szCs w:val="22"/>
        </w:rPr>
        <w:t xml:space="preserve">For more information contact Dave VanderWoude in </w:t>
      </w:r>
      <w:r w:rsidRPr="00036988">
        <w:rPr>
          <w:b/>
          <w:sz w:val="22"/>
          <w:szCs w:val="22"/>
        </w:rPr>
        <w:t>Representative Byron</w:t>
      </w:r>
      <w:r>
        <w:rPr>
          <w:b/>
          <w:sz w:val="22"/>
          <w:szCs w:val="22"/>
        </w:rPr>
        <w:t xml:space="preserve"> Rushing’s Office at 617.722.2783 or david.vanderwoude@mahouse.gov </w:t>
      </w:r>
    </w:p>
    <w:p w:rsidR="00D4316C" w:rsidRDefault="00D4316C" w:rsidP="00D4316C"/>
    <w:p w:rsidR="009F588F" w:rsidRDefault="009F588F"/>
    <w:sectPr w:rsidR="009F588F" w:rsidSect="00AC7BFC">
      <w:pgSz w:w="12240" w:h="15840"/>
      <w:pgMar w:top="115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E0F44"/>
    <w:multiLevelType w:val="hybridMultilevel"/>
    <w:tmpl w:val="B96E21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C"/>
    <w:rsid w:val="002777FD"/>
    <w:rsid w:val="009F588F"/>
    <w:rsid w:val="00D43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1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1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2662</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VanderWoude, David (HOU)</dc:creator>
  <cp:lastModifiedBy>VanderWoude, David (HOU)</cp:lastModifiedBy>
  <cp:revision>2</cp:revision>
  <dcterms:created xsi:type="dcterms:W3CDTF">2015-08-04T16:24:00Z</dcterms:created>
  <dcterms:modified xsi:type="dcterms:W3CDTF">2015-08-04T16:27:00Z</dcterms:modified>
</cp:coreProperties>
</file>