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EE" w:rsidRDefault="009B1E3A">
      <w:pPr>
        <w:suppressLineNumbers/>
        <w:spacing w:after="2"/>
        <w:jc w:val="center"/>
      </w:pPr>
      <w:r>
        <w:rPr>
          <w:rFonts w:ascii="Arial"/>
          <w:sz w:val="18"/>
        </w:rPr>
        <w:t>SENATE DOCKET, NO. 1362        FILED ON: 1/16/2015</w:t>
      </w:r>
    </w:p>
    <w:p w:rsidR="00A965EE" w:rsidRDefault="009B1E3A">
      <w:pPr>
        <w:suppressLineNumbers/>
        <w:spacing w:after="2"/>
        <w:jc w:val="center"/>
        <w:rPr>
          <w:b/>
          <w:sz w:val="48"/>
        </w:rPr>
      </w:pPr>
      <w:r>
        <w:rPr>
          <w:b/>
          <w:sz w:val="48"/>
        </w:rPr>
        <w:t>SENATE  .  .  .  .  .  .  .  .  .  .  .  .  .  .  No.         </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A965EE">
        <w:tc>
          <w:tcPr>
            <w:tcW w:w="9500" w:type="dxa"/>
          </w:tcPr>
          <w:p w:rsidR="00A965EE" w:rsidRDefault="00A965EE">
            <w:pPr>
              <w:suppressLineNumbers/>
              <w:jc w:val="right"/>
              <w:rPr>
                <w:b/>
                <w:sz w:val="28"/>
              </w:rPr>
            </w:pPr>
          </w:p>
        </w:tc>
      </w:tr>
    </w:tbl>
    <w:p w:rsidR="00A965EE" w:rsidRDefault="009B1E3A">
      <w:pPr>
        <w:suppressLineNumbers/>
        <w:spacing w:after="0"/>
        <w:jc w:val="center"/>
      </w:pPr>
      <w:r>
        <w:rPr>
          <w:rFonts w:ascii="Old English Text MT"/>
          <w:sz w:val="32"/>
        </w:rPr>
        <w:t>The Commonwealth of Massachusetts</w:t>
      </w:r>
    </w:p>
    <w:p w:rsidR="00A965EE" w:rsidRDefault="009B1E3A">
      <w:pPr>
        <w:suppressLineNumbers/>
        <w:jc w:val="center"/>
      </w:pPr>
      <w:r>
        <w:rPr>
          <w:b/>
          <w:sz w:val="20"/>
        </w:rPr>
        <w:t>_________________</w:t>
      </w:r>
    </w:p>
    <w:p w:rsidR="00A965EE" w:rsidRDefault="009B1E3A">
      <w:pPr>
        <w:suppressLineNumbers/>
        <w:jc w:val="center"/>
      </w:pPr>
      <w:r>
        <w:rPr>
          <w:sz w:val="20"/>
        </w:rPr>
        <w:t>PRESENTED BY:</w:t>
      </w:r>
    </w:p>
    <w:p w:rsidR="00A965EE" w:rsidRDefault="009B1E3A">
      <w:pPr>
        <w:suppressLineNumbers/>
        <w:spacing w:after="0"/>
        <w:jc w:val="center"/>
      </w:pPr>
      <w:r>
        <w:rPr>
          <w:b/>
          <w:i/>
        </w:rPr>
        <w:t>Sal N. DiDomenico</w:t>
      </w:r>
    </w:p>
    <w:p w:rsidR="00A965EE" w:rsidRDefault="009B1E3A">
      <w:pPr>
        <w:suppressLineNumbers/>
        <w:jc w:val="center"/>
      </w:pPr>
      <w:r>
        <w:rPr>
          <w:b/>
          <w:sz w:val="20"/>
        </w:rPr>
        <w:t>_________________</w:t>
      </w:r>
    </w:p>
    <w:p w:rsidR="00A965EE" w:rsidRDefault="009B1E3A">
      <w:pPr>
        <w:suppressLineNumbers/>
      </w:pPr>
      <w:r>
        <w:rPr>
          <w:i/>
          <w:sz w:val="20"/>
        </w:rPr>
        <w:t xml:space="preserve">To the Honorable Senate and House of </w:t>
      </w:r>
      <w:r>
        <w:rPr>
          <w:i/>
          <w:sz w:val="20"/>
        </w:rPr>
        <w:t>Representatives of the Commonwealth of Massachusetts in General</w:t>
      </w:r>
      <w:r>
        <w:rPr>
          <w:i/>
          <w:sz w:val="20"/>
        </w:rPr>
        <w:br/>
      </w:r>
      <w:r>
        <w:rPr>
          <w:i/>
          <w:sz w:val="20"/>
        </w:rPr>
        <w:tab/>
        <w:t>Court assembled:</w:t>
      </w:r>
    </w:p>
    <w:p w:rsidR="00A965EE" w:rsidRDefault="009B1E3A">
      <w:pPr>
        <w:suppressLineNumbers/>
      </w:pPr>
      <w:r>
        <w:rPr>
          <w:sz w:val="20"/>
        </w:rPr>
        <w:tab/>
        <w:t>The undersigned legislators and/or citizens respectfully petition for the adoption of the accompanying bill:</w:t>
      </w:r>
    </w:p>
    <w:p w:rsidR="00A965EE" w:rsidRDefault="009B1E3A">
      <w:pPr>
        <w:suppressLineNumbers/>
        <w:spacing w:after="2"/>
        <w:jc w:val="center"/>
      </w:pPr>
      <w:r>
        <w:t>An Act relative to healthy youth.</w:t>
      </w:r>
    </w:p>
    <w:p w:rsidR="00A965EE" w:rsidRDefault="009B1E3A">
      <w:pPr>
        <w:suppressLineNumbers/>
        <w:spacing w:before="2"/>
        <w:jc w:val="center"/>
      </w:pPr>
      <w:r>
        <w:rPr>
          <w:b/>
        </w:rPr>
        <w:t>_______________</w:t>
      </w:r>
    </w:p>
    <w:p w:rsidR="00A965EE" w:rsidRDefault="009B1E3A">
      <w:pPr>
        <w:suppressLineNumbers/>
        <w:spacing w:before="2" w:after="2"/>
        <w:jc w:val="center"/>
      </w:pPr>
      <w:r>
        <w:rPr>
          <w:sz w:val="20"/>
        </w:rPr>
        <w:t>PETITION OF:</w:t>
      </w:r>
    </w:p>
    <w:p w:rsidR="00A965EE" w:rsidRDefault="00A965EE">
      <w:pPr>
        <w:suppressLineNumbers/>
      </w:pPr>
    </w:p>
    <w:sdt>
      <w:sdtPr>
        <w:id w:val="1"/>
      </w:sdtPr>
      <w:sdtEndPr/>
      <w:sdtContent>
        <w:tbl>
          <w:tblPr>
            <w:tblW w:w="0" w:type="auto"/>
            <w:tblBorders>
              <w:insideH w:val="dotted" w:sz="4" w:space="0" w:color="auto"/>
              <w:insideV w:val="dotted" w:sz="4" w:space="0" w:color="auto"/>
            </w:tblBorders>
            <w:tblLook w:val="04A0" w:firstRow="1" w:lastRow="0" w:firstColumn="1" w:lastColumn="0" w:noHBand="0" w:noVBand="1"/>
          </w:tblPr>
          <w:tblGrid>
            <w:gridCol w:w="4500"/>
            <w:gridCol w:w="4500"/>
          </w:tblGrid>
          <w:tr w:rsidR="00A965EE">
            <w:tc>
              <w:tcPr>
                <w:tcW w:w="4500" w:type="dxa"/>
                <w:tcBorders>
                  <w:top w:val="nil"/>
                  <w:bottom w:val="single" w:sz="4" w:space="0" w:color="auto"/>
                  <w:right w:val="single" w:sz="4" w:space="0" w:color="auto"/>
                </w:tcBorders>
              </w:tcPr>
              <w:p w:rsidR="00A965EE" w:rsidRDefault="009B1E3A">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A965EE" w:rsidRDefault="009B1E3A">
                <w:pPr>
                  <w:suppressLineNumbers/>
                  <w:spacing w:after="2"/>
                  <w:rPr>
                    <w:smallCaps/>
                  </w:rPr>
                </w:pPr>
                <w:r>
                  <w:rPr>
                    <w:smallCaps/>
                  </w:rPr>
                  <w:t>District/Address:</w:t>
                </w:r>
              </w:p>
            </w:tc>
          </w:tr>
          <w:tr w:rsidR="00A965EE">
            <w:tc>
              <w:tcPr>
                <w:tcW w:w="4500" w:type="dxa"/>
              </w:tcPr>
              <w:p w:rsidR="00A965EE" w:rsidRDefault="009B1E3A">
                <w:pPr>
                  <w:suppressLineNumbers/>
                  <w:spacing w:after="2"/>
                  <w:rPr>
                    <w:i/>
                  </w:rPr>
                </w:pPr>
                <w:r>
                  <w:rPr>
                    <w:i/>
                  </w:rPr>
                  <w:t>Sal N. DiDomenico</w:t>
                </w:r>
              </w:p>
            </w:tc>
            <w:tc>
              <w:tcPr>
                <w:tcW w:w="4500" w:type="dxa"/>
              </w:tcPr>
              <w:p w:rsidR="00A965EE" w:rsidRDefault="009B1E3A">
                <w:pPr>
                  <w:suppressLineNumbers/>
                  <w:spacing w:after="2"/>
                </w:pPr>
                <w:r>
                  <w:rPr>
                    <w:i/>
                  </w:rPr>
                  <w:t>Middlesex and Suffolk</w:t>
                </w:r>
              </w:p>
            </w:tc>
          </w:tr>
          <w:tr w:rsidR="00A965EE">
            <w:tc>
              <w:tcPr>
                <w:tcW w:w="4500" w:type="dxa"/>
              </w:tcPr>
              <w:p w:rsidR="00A965EE" w:rsidRDefault="009B1E3A">
                <w:pPr>
                  <w:suppressLineNumbers/>
                  <w:spacing w:after="2"/>
                  <w:rPr>
                    <w:i/>
                  </w:rPr>
                </w:pPr>
                <w:r>
                  <w:rPr>
                    <w:i/>
                  </w:rPr>
                  <w:t>Jason M. Lewis</w:t>
                </w:r>
              </w:p>
            </w:tc>
            <w:tc>
              <w:tcPr>
                <w:tcW w:w="4500" w:type="dxa"/>
              </w:tcPr>
              <w:p w:rsidR="00A965EE" w:rsidRDefault="009B1E3A">
                <w:pPr>
                  <w:suppressLineNumbers/>
                  <w:spacing w:after="2"/>
                </w:pPr>
                <w:r>
                  <w:rPr>
                    <w:i/>
                  </w:rPr>
                  <w:t>Fifth Middlesex</w:t>
                </w:r>
              </w:p>
            </w:tc>
          </w:tr>
          <w:tr w:rsidR="00A965EE">
            <w:tc>
              <w:tcPr>
                <w:tcW w:w="4500" w:type="dxa"/>
              </w:tcPr>
              <w:p w:rsidR="00A965EE" w:rsidRDefault="009B1E3A">
                <w:pPr>
                  <w:suppressLineNumbers/>
                  <w:spacing w:after="2"/>
                  <w:rPr>
                    <w:i/>
                  </w:rPr>
                </w:pPr>
                <w:r>
                  <w:rPr>
                    <w:i/>
                  </w:rPr>
                  <w:t>Paul R. Heroux</w:t>
                </w:r>
              </w:p>
            </w:tc>
            <w:tc>
              <w:tcPr>
                <w:tcW w:w="4500" w:type="dxa"/>
              </w:tcPr>
              <w:p w:rsidR="00A965EE" w:rsidRDefault="009B1E3A">
                <w:pPr>
                  <w:suppressLineNumbers/>
                  <w:spacing w:after="2"/>
                </w:pPr>
                <w:r>
                  <w:rPr>
                    <w:i/>
                  </w:rPr>
                  <w:t>2nd Bristol</w:t>
                </w:r>
              </w:p>
            </w:tc>
          </w:tr>
          <w:tr w:rsidR="00A965EE">
            <w:tc>
              <w:tcPr>
                <w:tcW w:w="4500" w:type="dxa"/>
              </w:tcPr>
              <w:p w:rsidR="00A965EE" w:rsidRDefault="009B1E3A">
                <w:pPr>
                  <w:suppressLineNumbers/>
                  <w:spacing w:after="2"/>
                  <w:rPr>
                    <w:i/>
                  </w:rPr>
                </w:pPr>
                <w:r>
                  <w:rPr>
                    <w:i/>
                  </w:rPr>
                  <w:t>Stephen Kulik</w:t>
                </w:r>
              </w:p>
            </w:tc>
            <w:tc>
              <w:tcPr>
                <w:tcW w:w="4500" w:type="dxa"/>
              </w:tcPr>
              <w:p w:rsidR="00A965EE" w:rsidRDefault="009B1E3A">
                <w:pPr>
                  <w:suppressLineNumbers/>
                  <w:spacing w:after="2"/>
                </w:pPr>
                <w:r>
                  <w:rPr>
                    <w:i/>
                  </w:rPr>
                  <w:t>1st Franklin</w:t>
                </w:r>
              </w:p>
            </w:tc>
          </w:tr>
          <w:tr w:rsidR="00A965EE">
            <w:tc>
              <w:tcPr>
                <w:tcW w:w="4500" w:type="dxa"/>
              </w:tcPr>
              <w:p w:rsidR="00A965EE" w:rsidRDefault="009B1E3A">
                <w:pPr>
                  <w:suppressLineNumbers/>
                  <w:spacing w:after="2"/>
                  <w:rPr>
                    <w:i/>
                  </w:rPr>
                </w:pPr>
                <w:r>
                  <w:rPr>
                    <w:i/>
                  </w:rPr>
                  <w:t>Michael O. Moore</w:t>
                </w:r>
              </w:p>
            </w:tc>
            <w:tc>
              <w:tcPr>
                <w:tcW w:w="4500" w:type="dxa"/>
              </w:tcPr>
              <w:p w:rsidR="00A965EE" w:rsidRDefault="009B1E3A">
                <w:pPr>
                  <w:suppressLineNumbers/>
                  <w:spacing w:after="2"/>
                </w:pPr>
                <w:r>
                  <w:rPr>
                    <w:i/>
                  </w:rPr>
                  <w:t>Second Worcester</w:t>
                </w:r>
              </w:p>
            </w:tc>
          </w:tr>
          <w:tr w:rsidR="00A965EE">
            <w:tc>
              <w:tcPr>
                <w:tcW w:w="4500" w:type="dxa"/>
              </w:tcPr>
              <w:p w:rsidR="00A965EE" w:rsidRDefault="009B1E3A">
                <w:pPr>
                  <w:suppressLineNumbers/>
                  <w:spacing w:after="2"/>
                  <w:rPr>
                    <w:i/>
                  </w:rPr>
                </w:pPr>
                <w:r>
                  <w:rPr>
                    <w:i/>
                  </w:rPr>
                  <w:t>Sonia Chang-Diaz</w:t>
                </w:r>
              </w:p>
            </w:tc>
            <w:tc>
              <w:tcPr>
                <w:tcW w:w="4500" w:type="dxa"/>
              </w:tcPr>
              <w:p w:rsidR="00A965EE" w:rsidRDefault="009B1E3A">
                <w:pPr>
                  <w:suppressLineNumbers/>
                  <w:spacing w:after="2"/>
                </w:pPr>
                <w:r>
                  <w:rPr>
                    <w:i/>
                  </w:rPr>
                  <w:t>Second Suffolk</w:t>
                </w:r>
              </w:p>
            </w:tc>
          </w:tr>
          <w:tr w:rsidR="00A965EE">
            <w:tc>
              <w:tcPr>
                <w:tcW w:w="4500" w:type="dxa"/>
              </w:tcPr>
              <w:p w:rsidR="00A965EE" w:rsidRDefault="009B1E3A">
                <w:pPr>
                  <w:suppressLineNumbers/>
                  <w:spacing w:after="2"/>
                  <w:rPr>
                    <w:i/>
                  </w:rPr>
                </w:pPr>
                <w:r>
                  <w:rPr>
                    <w:i/>
                  </w:rPr>
                  <w:t>Joseph W. McGonagle, Jr.</w:t>
                </w:r>
              </w:p>
            </w:tc>
            <w:tc>
              <w:tcPr>
                <w:tcW w:w="4500" w:type="dxa"/>
              </w:tcPr>
              <w:p w:rsidR="00A965EE" w:rsidRDefault="009B1E3A">
                <w:pPr>
                  <w:suppressLineNumbers/>
                  <w:spacing w:after="2"/>
                </w:pPr>
                <w:r>
                  <w:rPr>
                    <w:i/>
                  </w:rPr>
                  <w:t xml:space="preserve">28th </w:t>
                </w:r>
                <w:r>
                  <w:rPr>
                    <w:i/>
                  </w:rPr>
                  <w:t>Middlesex</w:t>
                </w:r>
              </w:p>
            </w:tc>
          </w:tr>
          <w:tr w:rsidR="00A965EE">
            <w:tc>
              <w:tcPr>
                <w:tcW w:w="4500" w:type="dxa"/>
              </w:tcPr>
              <w:p w:rsidR="00A965EE" w:rsidRDefault="009B1E3A">
                <w:pPr>
                  <w:suppressLineNumbers/>
                  <w:spacing w:after="2"/>
                  <w:rPr>
                    <w:i/>
                  </w:rPr>
                </w:pPr>
                <w:r>
                  <w:rPr>
                    <w:i/>
                  </w:rPr>
                  <w:t>Marjorie C. Decker</w:t>
                </w:r>
              </w:p>
            </w:tc>
            <w:tc>
              <w:tcPr>
                <w:tcW w:w="4500" w:type="dxa"/>
              </w:tcPr>
              <w:p w:rsidR="00A965EE" w:rsidRDefault="009B1E3A">
                <w:pPr>
                  <w:suppressLineNumbers/>
                  <w:spacing w:after="2"/>
                </w:pPr>
                <w:r>
                  <w:rPr>
                    <w:i/>
                  </w:rPr>
                  <w:t>25th Middlesex</w:t>
                </w:r>
              </w:p>
            </w:tc>
          </w:tr>
          <w:tr w:rsidR="00A965EE">
            <w:tc>
              <w:tcPr>
                <w:tcW w:w="4500" w:type="dxa"/>
              </w:tcPr>
              <w:p w:rsidR="00A965EE" w:rsidRDefault="009B1E3A">
                <w:pPr>
                  <w:suppressLineNumbers/>
                  <w:spacing w:after="2"/>
                  <w:rPr>
                    <w:i/>
                  </w:rPr>
                </w:pPr>
                <w:r>
                  <w:rPr>
                    <w:i/>
                  </w:rPr>
                  <w:t>Michael J. Barrett</w:t>
                </w:r>
              </w:p>
            </w:tc>
            <w:tc>
              <w:tcPr>
                <w:tcW w:w="4500" w:type="dxa"/>
              </w:tcPr>
              <w:p w:rsidR="00A965EE" w:rsidRDefault="009B1E3A">
                <w:pPr>
                  <w:suppressLineNumbers/>
                  <w:spacing w:after="2"/>
                </w:pPr>
                <w:r>
                  <w:rPr>
                    <w:i/>
                  </w:rPr>
                  <w:t>Third Middlesex</w:t>
                </w:r>
              </w:p>
            </w:tc>
          </w:tr>
          <w:tr w:rsidR="00A965EE">
            <w:tc>
              <w:tcPr>
                <w:tcW w:w="4500" w:type="dxa"/>
              </w:tcPr>
              <w:p w:rsidR="00A965EE" w:rsidRDefault="009B1E3A">
                <w:pPr>
                  <w:suppressLineNumbers/>
                  <w:spacing w:after="2"/>
                  <w:rPr>
                    <w:i/>
                  </w:rPr>
                </w:pPr>
                <w:r>
                  <w:rPr>
                    <w:i/>
                  </w:rPr>
                  <w:t>Linda Dorcena Forry</w:t>
                </w:r>
              </w:p>
            </w:tc>
            <w:tc>
              <w:tcPr>
                <w:tcW w:w="4500" w:type="dxa"/>
              </w:tcPr>
              <w:p w:rsidR="00A965EE" w:rsidRDefault="009B1E3A">
                <w:pPr>
                  <w:suppressLineNumbers/>
                  <w:spacing w:after="2"/>
                </w:pPr>
                <w:r>
                  <w:rPr>
                    <w:i/>
                  </w:rPr>
                  <w:t>First Suffolk</w:t>
                </w:r>
              </w:p>
            </w:tc>
          </w:tr>
          <w:tr w:rsidR="00A965EE">
            <w:tc>
              <w:tcPr>
                <w:tcW w:w="4500" w:type="dxa"/>
              </w:tcPr>
              <w:p w:rsidR="00A965EE" w:rsidRDefault="009B1E3A">
                <w:pPr>
                  <w:suppressLineNumbers/>
                  <w:spacing w:after="2"/>
                  <w:rPr>
                    <w:i/>
                  </w:rPr>
                </w:pPr>
                <w:r>
                  <w:rPr>
                    <w:i/>
                  </w:rPr>
                  <w:t>David M. Rogers</w:t>
                </w:r>
              </w:p>
            </w:tc>
            <w:tc>
              <w:tcPr>
                <w:tcW w:w="4500" w:type="dxa"/>
              </w:tcPr>
              <w:p w:rsidR="00A965EE" w:rsidRDefault="009B1E3A">
                <w:pPr>
                  <w:suppressLineNumbers/>
                  <w:spacing w:after="2"/>
                </w:pPr>
                <w:r>
                  <w:rPr>
                    <w:i/>
                  </w:rPr>
                  <w:t>24th Middlesex</w:t>
                </w:r>
              </w:p>
            </w:tc>
          </w:tr>
          <w:tr w:rsidR="00A965EE">
            <w:tc>
              <w:tcPr>
                <w:tcW w:w="4500" w:type="dxa"/>
              </w:tcPr>
              <w:p w:rsidR="00A965EE" w:rsidRDefault="009B1E3A">
                <w:pPr>
                  <w:suppressLineNumbers/>
                  <w:spacing w:after="2"/>
                  <w:rPr>
                    <w:i/>
                  </w:rPr>
                </w:pPr>
                <w:r>
                  <w:rPr>
                    <w:i/>
                  </w:rPr>
                  <w:t>John J. Lawn, Jr.</w:t>
                </w:r>
              </w:p>
            </w:tc>
            <w:tc>
              <w:tcPr>
                <w:tcW w:w="4500" w:type="dxa"/>
              </w:tcPr>
              <w:p w:rsidR="00A965EE" w:rsidRDefault="009B1E3A">
                <w:pPr>
                  <w:suppressLineNumbers/>
                  <w:spacing w:after="2"/>
                </w:pPr>
                <w:r>
                  <w:rPr>
                    <w:i/>
                  </w:rPr>
                  <w:t>10th Middlesex</w:t>
                </w:r>
              </w:p>
            </w:tc>
          </w:tr>
          <w:tr w:rsidR="00A965EE">
            <w:tc>
              <w:tcPr>
                <w:tcW w:w="4500" w:type="dxa"/>
              </w:tcPr>
              <w:p w:rsidR="00A965EE" w:rsidRDefault="009B1E3A">
                <w:pPr>
                  <w:suppressLineNumbers/>
                  <w:spacing w:after="2"/>
                  <w:rPr>
                    <w:i/>
                  </w:rPr>
                </w:pPr>
                <w:r>
                  <w:rPr>
                    <w:i/>
                  </w:rPr>
                  <w:t>Cynthia S. Creem</w:t>
                </w:r>
              </w:p>
            </w:tc>
            <w:tc>
              <w:tcPr>
                <w:tcW w:w="4500" w:type="dxa"/>
              </w:tcPr>
              <w:p w:rsidR="00A965EE" w:rsidRDefault="009B1E3A">
                <w:pPr>
                  <w:suppressLineNumbers/>
                  <w:spacing w:after="2"/>
                </w:pPr>
                <w:r>
                  <w:rPr>
                    <w:i/>
                  </w:rPr>
                  <w:t>First Middlesex and Norfolk</w:t>
                </w:r>
              </w:p>
            </w:tc>
          </w:tr>
          <w:tr w:rsidR="00A965EE">
            <w:tc>
              <w:tcPr>
                <w:tcW w:w="4500" w:type="dxa"/>
              </w:tcPr>
              <w:p w:rsidR="00A965EE" w:rsidRDefault="009B1E3A">
                <w:pPr>
                  <w:suppressLineNumbers/>
                  <w:spacing w:after="2"/>
                  <w:rPr>
                    <w:i/>
                  </w:rPr>
                </w:pPr>
                <w:r>
                  <w:rPr>
                    <w:i/>
                  </w:rPr>
                  <w:t>Harriette L. Chandler</w:t>
                </w:r>
              </w:p>
            </w:tc>
            <w:tc>
              <w:tcPr>
                <w:tcW w:w="4500" w:type="dxa"/>
              </w:tcPr>
              <w:p w:rsidR="00A965EE" w:rsidRDefault="009B1E3A">
                <w:pPr>
                  <w:suppressLineNumbers/>
                  <w:spacing w:after="2"/>
                </w:pPr>
                <w:r>
                  <w:rPr>
                    <w:i/>
                  </w:rPr>
                  <w:t>First</w:t>
                </w:r>
                <w:r>
                  <w:rPr>
                    <w:i/>
                  </w:rPr>
                  <w:t xml:space="preserve"> Worcester</w:t>
                </w:r>
              </w:p>
            </w:tc>
          </w:tr>
          <w:tr w:rsidR="00A965EE">
            <w:tc>
              <w:tcPr>
                <w:tcW w:w="4500" w:type="dxa"/>
              </w:tcPr>
              <w:p w:rsidR="00A965EE" w:rsidRDefault="009B1E3A">
                <w:pPr>
                  <w:suppressLineNumbers/>
                  <w:spacing w:after="2"/>
                  <w:rPr>
                    <w:i/>
                  </w:rPr>
                </w:pPr>
                <w:r>
                  <w:rPr>
                    <w:i/>
                  </w:rPr>
                  <w:t>John F. Keenan</w:t>
                </w:r>
              </w:p>
            </w:tc>
            <w:tc>
              <w:tcPr>
                <w:tcW w:w="4500" w:type="dxa"/>
              </w:tcPr>
              <w:p w:rsidR="00A965EE" w:rsidRDefault="009B1E3A">
                <w:pPr>
                  <w:suppressLineNumbers/>
                  <w:spacing w:after="2"/>
                </w:pPr>
                <w:r>
                  <w:rPr>
                    <w:i/>
                  </w:rPr>
                  <w:t>Norfolk and Plymouth</w:t>
                </w:r>
              </w:p>
            </w:tc>
          </w:tr>
          <w:tr w:rsidR="00A965EE">
            <w:tc>
              <w:tcPr>
                <w:tcW w:w="4500" w:type="dxa"/>
              </w:tcPr>
              <w:p w:rsidR="00A965EE" w:rsidRDefault="009B1E3A">
                <w:pPr>
                  <w:suppressLineNumbers/>
                  <w:spacing w:after="2"/>
                  <w:rPr>
                    <w:i/>
                  </w:rPr>
                </w:pPr>
                <w:r>
                  <w:rPr>
                    <w:i/>
                  </w:rPr>
                  <w:t>Eric P. Lesser</w:t>
                </w:r>
              </w:p>
            </w:tc>
            <w:tc>
              <w:tcPr>
                <w:tcW w:w="4500" w:type="dxa"/>
              </w:tcPr>
              <w:p w:rsidR="00A965EE" w:rsidRDefault="009B1E3A">
                <w:pPr>
                  <w:suppressLineNumbers/>
                  <w:spacing w:after="2"/>
                </w:pPr>
                <w:r>
                  <w:rPr>
                    <w:i/>
                  </w:rPr>
                  <w:t>First Hampden and Hampshire</w:t>
                </w:r>
              </w:p>
            </w:tc>
          </w:tr>
          <w:tr w:rsidR="00A965EE">
            <w:tc>
              <w:tcPr>
                <w:tcW w:w="4500" w:type="dxa"/>
              </w:tcPr>
              <w:p w:rsidR="00A965EE" w:rsidRDefault="009B1E3A">
                <w:pPr>
                  <w:suppressLineNumbers/>
                  <w:spacing w:after="2"/>
                  <w:rPr>
                    <w:i/>
                  </w:rPr>
                </w:pPr>
                <w:r>
                  <w:rPr>
                    <w:i/>
                  </w:rPr>
                  <w:t>James B. Eldridge</w:t>
                </w:r>
              </w:p>
            </w:tc>
            <w:tc>
              <w:tcPr>
                <w:tcW w:w="4500" w:type="dxa"/>
              </w:tcPr>
              <w:p w:rsidR="00A965EE" w:rsidRDefault="009B1E3A">
                <w:pPr>
                  <w:suppressLineNumbers/>
                  <w:spacing w:after="2"/>
                </w:pPr>
                <w:r>
                  <w:rPr>
                    <w:i/>
                  </w:rPr>
                  <w:t>Middlesex and Worcester</w:t>
                </w:r>
              </w:p>
            </w:tc>
          </w:tr>
          <w:tr w:rsidR="00A965EE">
            <w:tc>
              <w:tcPr>
                <w:tcW w:w="4500" w:type="dxa"/>
              </w:tcPr>
              <w:p w:rsidR="00A965EE" w:rsidRDefault="009B1E3A">
                <w:pPr>
                  <w:suppressLineNumbers/>
                  <w:spacing w:after="2"/>
                  <w:rPr>
                    <w:i/>
                  </w:rPr>
                </w:pPr>
                <w:r>
                  <w:rPr>
                    <w:i/>
                  </w:rPr>
                  <w:t>Denise Provost</w:t>
                </w:r>
              </w:p>
            </w:tc>
            <w:tc>
              <w:tcPr>
                <w:tcW w:w="4500" w:type="dxa"/>
              </w:tcPr>
              <w:p w:rsidR="00A965EE" w:rsidRDefault="009B1E3A">
                <w:pPr>
                  <w:suppressLineNumbers/>
                  <w:spacing w:after="2"/>
                </w:pPr>
                <w:r>
                  <w:rPr>
                    <w:i/>
                  </w:rPr>
                  <w:t>27th Middlesex</w:t>
                </w:r>
              </w:p>
            </w:tc>
          </w:tr>
          <w:tr w:rsidR="00A965EE">
            <w:tc>
              <w:tcPr>
                <w:tcW w:w="4500" w:type="dxa"/>
              </w:tcPr>
              <w:p w:rsidR="00A965EE" w:rsidRDefault="009B1E3A">
                <w:pPr>
                  <w:suppressLineNumbers/>
                  <w:spacing w:after="2"/>
                  <w:rPr>
                    <w:i/>
                  </w:rPr>
                </w:pPr>
                <w:r>
                  <w:rPr>
                    <w:i/>
                  </w:rPr>
                  <w:lastRenderedPageBreak/>
                  <w:t>Steven Ultrino</w:t>
                </w:r>
              </w:p>
            </w:tc>
            <w:tc>
              <w:tcPr>
                <w:tcW w:w="4500" w:type="dxa"/>
              </w:tcPr>
              <w:p w:rsidR="00A965EE" w:rsidRDefault="009B1E3A">
                <w:pPr>
                  <w:suppressLineNumbers/>
                  <w:spacing w:after="2"/>
                </w:pPr>
                <w:r>
                  <w:rPr>
                    <w:i/>
                  </w:rPr>
                  <w:t>33rd Middlesex</w:t>
                </w:r>
              </w:p>
            </w:tc>
          </w:tr>
          <w:tr w:rsidR="00A965EE">
            <w:tc>
              <w:tcPr>
                <w:tcW w:w="4500" w:type="dxa"/>
              </w:tcPr>
              <w:p w:rsidR="00A965EE" w:rsidRDefault="009B1E3A">
                <w:pPr>
                  <w:suppressLineNumbers/>
                  <w:spacing w:after="2"/>
                  <w:rPr>
                    <w:i/>
                  </w:rPr>
                </w:pPr>
                <w:r>
                  <w:rPr>
                    <w:i/>
                  </w:rPr>
                  <w:t>Lori A. Ehrlich</w:t>
                </w:r>
              </w:p>
            </w:tc>
            <w:tc>
              <w:tcPr>
                <w:tcW w:w="4500" w:type="dxa"/>
              </w:tcPr>
              <w:p w:rsidR="00A965EE" w:rsidRDefault="009B1E3A">
                <w:pPr>
                  <w:suppressLineNumbers/>
                  <w:spacing w:after="2"/>
                </w:pPr>
                <w:r>
                  <w:rPr>
                    <w:i/>
                  </w:rPr>
                  <w:t>8th Essex</w:t>
                </w:r>
              </w:p>
            </w:tc>
          </w:tr>
          <w:tr w:rsidR="00A965EE">
            <w:tc>
              <w:tcPr>
                <w:tcW w:w="4500" w:type="dxa"/>
              </w:tcPr>
              <w:p w:rsidR="00A965EE" w:rsidRDefault="009B1E3A">
                <w:pPr>
                  <w:suppressLineNumbers/>
                  <w:spacing w:after="2"/>
                  <w:rPr>
                    <w:i/>
                  </w:rPr>
                </w:pPr>
                <w:r>
                  <w:rPr>
                    <w:i/>
                  </w:rPr>
                  <w:t>Sean Garballey</w:t>
                </w:r>
              </w:p>
            </w:tc>
            <w:tc>
              <w:tcPr>
                <w:tcW w:w="4500" w:type="dxa"/>
              </w:tcPr>
              <w:p w:rsidR="00A965EE" w:rsidRDefault="009B1E3A">
                <w:pPr>
                  <w:suppressLineNumbers/>
                  <w:spacing w:after="2"/>
                </w:pPr>
                <w:r>
                  <w:rPr>
                    <w:i/>
                  </w:rPr>
                  <w:t>23rd Middlesex</w:t>
                </w:r>
              </w:p>
            </w:tc>
          </w:tr>
          <w:tr w:rsidR="00A965EE">
            <w:tc>
              <w:tcPr>
                <w:tcW w:w="4500" w:type="dxa"/>
              </w:tcPr>
              <w:p w:rsidR="00A965EE" w:rsidRDefault="009B1E3A">
                <w:pPr>
                  <w:suppressLineNumbers/>
                  <w:spacing w:after="2"/>
                  <w:rPr>
                    <w:i/>
                  </w:rPr>
                </w:pPr>
                <w:r>
                  <w:rPr>
                    <w:i/>
                  </w:rPr>
                  <w:t>Kenneth J. Donnelly</w:t>
                </w:r>
              </w:p>
            </w:tc>
            <w:tc>
              <w:tcPr>
                <w:tcW w:w="4500" w:type="dxa"/>
              </w:tcPr>
              <w:p w:rsidR="00A965EE" w:rsidRDefault="009B1E3A">
                <w:pPr>
                  <w:suppressLineNumbers/>
                  <w:spacing w:after="2"/>
                </w:pPr>
                <w:r>
                  <w:rPr>
                    <w:i/>
                  </w:rPr>
                  <w:t>Fourth Middlesex</w:t>
                </w:r>
              </w:p>
            </w:tc>
          </w:tr>
          <w:tr w:rsidR="00A965EE">
            <w:tc>
              <w:tcPr>
                <w:tcW w:w="4500" w:type="dxa"/>
              </w:tcPr>
              <w:p w:rsidR="00A965EE" w:rsidRDefault="009B1E3A">
                <w:pPr>
                  <w:suppressLineNumbers/>
                  <w:spacing w:after="2"/>
                  <w:rPr>
                    <w:i/>
                  </w:rPr>
                </w:pPr>
                <w:r>
                  <w:rPr>
                    <w:i/>
                  </w:rPr>
                  <w:t>Barbara L'Italien</w:t>
                </w:r>
              </w:p>
            </w:tc>
            <w:tc>
              <w:tcPr>
                <w:tcW w:w="4500" w:type="dxa"/>
              </w:tcPr>
              <w:p w:rsidR="00A965EE" w:rsidRDefault="009B1E3A">
                <w:pPr>
                  <w:suppressLineNumbers/>
                  <w:spacing w:after="2"/>
                </w:pPr>
                <w:r>
                  <w:rPr>
                    <w:i/>
                  </w:rPr>
                  <w:t>Second Essex and Middlesex</w:t>
                </w:r>
              </w:p>
            </w:tc>
          </w:tr>
          <w:tr w:rsidR="00A965EE">
            <w:tc>
              <w:tcPr>
                <w:tcW w:w="4500" w:type="dxa"/>
              </w:tcPr>
              <w:p w:rsidR="00A965EE" w:rsidRDefault="009B1E3A">
                <w:pPr>
                  <w:suppressLineNumbers/>
                  <w:spacing w:after="2"/>
                  <w:rPr>
                    <w:i/>
                  </w:rPr>
                </w:pPr>
                <w:r>
                  <w:rPr>
                    <w:i/>
                  </w:rPr>
                  <w:t>Daniel J. Ryan</w:t>
                </w:r>
              </w:p>
            </w:tc>
            <w:tc>
              <w:tcPr>
                <w:tcW w:w="4500" w:type="dxa"/>
              </w:tcPr>
              <w:p w:rsidR="00A965EE" w:rsidRDefault="009B1E3A">
                <w:pPr>
                  <w:suppressLineNumbers/>
                  <w:spacing w:after="2"/>
                </w:pPr>
                <w:r>
                  <w:rPr>
                    <w:i/>
                  </w:rPr>
                  <w:t>2nd Suffolk</w:t>
                </w:r>
              </w:p>
            </w:tc>
          </w:tr>
          <w:tr w:rsidR="00A965EE">
            <w:tc>
              <w:tcPr>
                <w:tcW w:w="4500" w:type="dxa"/>
              </w:tcPr>
              <w:p w:rsidR="00A965EE" w:rsidRDefault="009B1E3A">
                <w:pPr>
                  <w:suppressLineNumbers/>
                  <w:spacing w:after="2"/>
                  <w:rPr>
                    <w:i/>
                  </w:rPr>
                </w:pPr>
                <w:r>
                  <w:rPr>
                    <w:i/>
                  </w:rPr>
                  <w:t>Carmine Gentile</w:t>
                </w:r>
              </w:p>
            </w:tc>
            <w:tc>
              <w:tcPr>
                <w:tcW w:w="4500" w:type="dxa"/>
              </w:tcPr>
              <w:p w:rsidR="00A965EE" w:rsidRDefault="009B1E3A">
                <w:pPr>
                  <w:suppressLineNumbers/>
                  <w:spacing w:after="2"/>
                </w:pPr>
                <w:r>
                  <w:rPr>
                    <w:i/>
                  </w:rPr>
                  <w:t>13th Middlesex</w:t>
                </w:r>
              </w:p>
            </w:tc>
          </w:tr>
          <w:tr w:rsidR="00A965EE">
            <w:tc>
              <w:tcPr>
                <w:tcW w:w="4500" w:type="dxa"/>
              </w:tcPr>
              <w:p w:rsidR="00A965EE" w:rsidRDefault="009B1E3A">
                <w:pPr>
                  <w:suppressLineNumbers/>
                  <w:spacing w:after="2"/>
                  <w:rPr>
                    <w:i/>
                  </w:rPr>
                </w:pPr>
                <w:r>
                  <w:rPr>
                    <w:i/>
                  </w:rPr>
                  <w:t>Michelle M. DuBois</w:t>
                </w:r>
              </w:p>
            </w:tc>
            <w:tc>
              <w:tcPr>
                <w:tcW w:w="4500" w:type="dxa"/>
              </w:tcPr>
              <w:p w:rsidR="00A965EE" w:rsidRDefault="009B1E3A">
                <w:pPr>
                  <w:suppressLineNumbers/>
                  <w:spacing w:after="2"/>
                </w:pPr>
                <w:r>
                  <w:rPr>
                    <w:i/>
                  </w:rPr>
                  <w:t>10th Plymouth</w:t>
                </w:r>
              </w:p>
            </w:tc>
          </w:tr>
          <w:tr w:rsidR="00A965EE">
            <w:tc>
              <w:tcPr>
                <w:tcW w:w="4500" w:type="dxa"/>
              </w:tcPr>
              <w:p w:rsidR="00A965EE" w:rsidRDefault="009B1E3A">
                <w:pPr>
                  <w:suppressLineNumbers/>
                  <w:spacing w:after="2"/>
                  <w:rPr>
                    <w:i/>
                  </w:rPr>
                </w:pPr>
                <w:r>
                  <w:rPr>
                    <w:i/>
                  </w:rPr>
                  <w:t>Danielle W. Gregoire</w:t>
                </w:r>
              </w:p>
            </w:tc>
            <w:tc>
              <w:tcPr>
                <w:tcW w:w="4500" w:type="dxa"/>
              </w:tcPr>
              <w:p w:rsidR="00A965EE" w:rsidRDefault="009B1E3A">
                <w:pPr>
                  <w:suppressLineNumbers/>
                  <w:spacing w:after="2"/>
                </w:pPr>
                <w:r>
                  <w:rPr>
                    <w:i/>
                  </w:rPr>
                  <w:t>4th Middlesex</w:t>
                </w:r>
              </w:p>
            </w:tc>
          </w:tr>
          <w:tr w:rsidR="00A965EE">
            <w:tc>
              <w:tcPr>
                <w:tcW w:w="4500" w:type="dxa"/>
              </w:tcPr>
              <w:p w:rsidR="00A965EE" w:rsidRDefault="009B1E3A">
                <w:pPr>
                  <w:suppressLineNumbers/>
                  <w:spacing w:after="2"/>
                  <w:rPr>
                    <w:i/>
                  </w:rPr>
                </w:pPr>
                <w:r>
                  <w:rPr>
                    <w:i/>
                  </w:rPr>
                  <w:t>Anne M. Gobi</w:t>
                </w:r>
              </w:p>
            </w:tc>
            <w:tc>
              <w:tcPr>
                <w:tcW w:w="4500" w:type="dxa"/>
              </w:tcPr>
              <w:p w:rsidR="00A965EE" w:rsidRDefault="009B1E3A">
                <w:pPr>
                  <w:suppressLineNumbers/>
                  <w:spacing w:after="2"/>
                </w:pPr>
                <w:r>
                  <w:rPr>
                    <w:i/>
                  </w:rPr>
                  <w:t>Worcester, Hampden, Hampshire</w:t>
                </w:r>
                <w:r>
                  <w:rPr>
                    <w:i/>
                  </w:rPr>
                  <w:t xml:space="preserve"> and Middlesex</w:t>
                </w:r>
              </w:p>
            </w:tc>
          </w:tr>
          <w:tr w:rsidR="00A965EE">
            <w:tc>
              <w:tcPr>
                <w:tcW w:w="4500" w:type="dxa"/>
              </w:tcPr>
              <w:p w:rsidR="00A965EE" w:rsidRDefault="009B1E3A">
                <w:pPr>
                  <w:suppressLineNumbers/>
                  <w:spacing w:after="2"/>
                  <w:rPr>
                    <w:i/>
                  </w:rPr>
                </w:pPr>
                <w:r>
                  <w:rPr>
                    <w:i/>
                  </w:rPr>
                  <w:t>Patricia D. Jehlen</w:t>
                </w:r>
              </w:p>
            </w:tc>
            <w:tc>
              <w:tcPr>
                <w:tcW w:w="4500" w:type="dxa"/>
              </w:tcPr>
              <w:p w:rsidR="00A965EE" w:rsidRDefault="009B1E3A">
                <w:pPr>
                  <w:suppressLineNumbers/>
                  <w:spacing w:after="2"/>
                </w:pPr>
                <w:r>
                  <w:rPr>
                    <w:i/>
                  </w:rPr>
                  <w:t>Second Middlesex</w:t>
                </w:r>
              </w:p>
            </w:tc>
          </w:tr>
          <w:tr w:rsidR="00A965EE">
            <w:tc>
              <w:tcPr>
                <w:tcW w:w="4500" w:type="dxa"/>
              </w:tcPr>
              <w:p w:rsidR="00A965EE" w:rsidRDefault="009B1E3A">
                <w:pPr>
                  <w:suppressLineNumbers/>
                  <w:spacing w:after="2"/>
                  <w:rPr>
                    <w:i/>
                  </w:rPr>
                </w:pPr>
                <w:r>
                  <w:rPr>
                    <w:i/>
                  </w:rPr>
                  <w:t>Brian R. Mannal</w:t>
                </w:r>
              </w:p>
            </w:tc>
            <w:tc>
              <w:tcPr>
                <w:tcW w:w="4500" w:type="dxa"/>
              </w:tcPr>
              <w:p w:rsidR="00A965EE" w:rsidRDefault="009B1E3A">
                <w:pPr>
                  <w:suppressLineNumbers/>
                  <w:spacing w:after="2"/>
                </w:pPr>
                <w:r>
                  <w:rPr>
                    <w:i/>
                  </w:rPr>
                  <w:t>2nd Barnstable</w:t>
                </w:r>
              </w:p>
            </w:tc>
          </w:tr>
          <w:tr w:rsidR="00A965EE">
            <w:tc>
              <w:tcPr>
                <w:tcW w:w="4500" w:type="dxa"/>
              </w:tcPr>
              <w:p w:rsidR="00A965EE" w:rsidRDefault="009B1E3A">
                <w:pPr>
                  <w:suppressLineNumbers/>
                  <w:spacing w:after="2"/>
                  <w:rPr>
                    <w:i/>
                  </w:rPr>
                </w:pPr>
                <w:r>
                  <w:rPr>
                    <w:i/>
                  </w:rPr>
                  <w:t>William N. Brownsberger</w:t>
                </w:r>
              </w:p>
            </w:tc>
            <w:tc>
              <w:tcPr>
                <w:tcW w:w="4500" w:type="dxa"/>
              </w:tcPr>
              <w:p w:rsidR="00A965EE" w:rsidRDefault="009B1E3A">
                <w:pPr>
                  <w:suppressLineNumbers/>
                  <w:spacing w:after="2"/>
                </w:pPr>
                <w:r>
                  <w:rPr>
                    <w:i/>
                  </w:rPr>
                  <w:t>Second Suffolk and Middlesex</w:t>
                </w:r>
              </w:p>
            </w:tc>
          </w:tr>
          <w:tr w:rsidR="00A965EE">
            <w:tc>
              <w:tcPr>
                <w:tcW w:w="4500" w:type="dxa"/>
              </w:tcPr>
              <w:p w:rsidR="00A965EE" w:rsidRDefault="009B1E3A">
                <w:pPr>
                  <w:suppressLineNumbers/>
                  <w:spacing w:after="2"/>
                  <w:rPr>
                    <w:i/>
                  </w:rPr>
                </w:pPr>
                <w:r>
                  <w:rPr>
                    <w:i/>
                  </w:rPr>
                  <w:t>Timothy J. Toomey, Jr.</w:t>
                </w:r>
              </w:p>
            </w:tc>
            <w:tc>
              <w:tcPr>
                <w:tcW w:w="4500" w:type="dxa"/>
              </w:tcPr>
              <w:p w:rsidR="00A965EE" w:rsidRDefault="009B1E3A">
                <w:pPr>
                  <w:suppressLineNumbers/>
                  <w:spacing w:after="2"/>
                </w:pPr>
                <w:r>
                  <w:rPr>
                    <w:i/>
                  </w:rPr>
                  <w:t>26th Middlesex</w:t>
                </w:r>
              </w:p>
            </w:tc>
          </w:tr>
          <w:tr w:rsidR="00A965EE">
            <w:tc>
              <w:tcPr>
                <w:tcW w:w="4500" w:type="dxa"/>
              </w:tcPr>
              <w:p w:rsidR="00A965EE" w:rsidRDefault="009B1E3A">
                <w:pPr>
                  <w:suppressLineNumbers/>
                  <w:spacing w:after="2"/>
                  <w:rPr>
                    <w:i/>
                  </w:rPr>
                </w:pPr>
                <w:r>
                  <w:rPr>
                    <w:i/>
                  </w:rPr>
                  <w:t>Joan B.  Lovely</w:t>
                </w:r>
              </w:p>
            </w:tc>
            <w:tc>
              <w:tcPr>
                <w:tcW w:w="4500" w:type="dxa"/>
              </w:tcPr>
              <w:p w:rsidR="00A965EE" w:rsidRDefault="009B1E3A">
                <w:pPr>
                  <w:suppressLineNumbers/>
                  <w:spacing w:after="2"/>
                </w:pPr>
                <w:r>
                  <w:rPr>
                    <w:i/>
                  </w:rPr>
                  <w:t>Second Essex</w:t>
                </w:r>
              </w:p>
            </w:tc>
          </w:tr>
          <w:tr w:rsidR="00A965EE">
            <w:tc>
              <w:tcPr>
                <w:tcW w:w="4500" w:type="dxa"/>
              </w:tcPr>
              <w:p w:rsidR="00A965EE" w:rsidRDefault="009B1E3A">
                <w:pPr>
                  <w:suppressLineNumbers/>
                  <w:spacing w:after="2"/>
                  <w:rPr>
                    <w:i/>
                  </w:rPr>
                </w:pPr>
                <w:r>
                  <w:rPr>
                    <w:i/>
                  </w:rPr>
                  <w:t>Richard J. Ross</w:t>
                </w:r>
              </w:p>
            </w:tc>
            <w:tc>
              <w:tcPr>
                <w:tcW w:w="4500" w:type="dxa"/>
              </w:tcPr>
              <w:p w:rsidR="00A965EE" w:rsidRDefault="009B1E3A">
                <w:pPr>
                  <w:suppressLineNumbers/>
                  <w:spacing w:after="2"/>
                </w:pPr>
                <w:r>
                  <w:rPr>
                    <w:i/>
                  </w:rPr>
                  <w:t>Norfolk, Bristol and Middlesex</w:t>
                </w:r>
              </w:p>
            </w:tc>
          </w:tr>
          <w:tr w:rsidR="00A965EE">
            <w:tc>
              <w:tcPr>
                <w:tcW w:w="4500" w:type="dxa"/>
              </w:tcPr>
              <w:p w:rsidR="00A965EE" w:rsidRDefault="009B1E3A">
                <w:pPr>
                  <w:suppressLineNumbers/>
                  <w:spacing w:after="2"/>
                  <w:rPr>
                    <w:i/>
                  </w:rPr>
                </w:pPr>
                <w:r>
                  <w:rPr>
                    <w:i/>
                  </w:rPr>
                  <w:t>Daniel A. Wolf</w:t>
                </w:r>
              </w:p>
            </w:tc>
            <w:tc>
              <w:tcPr>
                <w:tcW w:w="4500" w:type="dxa"/>
              </w:tcPr>
              <w:p w:rsidR="00A965EE" w:rsidRDefault="009B1E3A">
                <w:pPr>
                  <w:suppressLineNumbers/>
                  <w:spacing w:after="2"/>
                </w:pPr>
                <w:r>
                  <w:rPr>
                    <w:i/>
                  </w:rPr>
                  <w:t>Cape and Islands</w:t>
                </w:r>
              </w:p>
            </w:tc>
          </w:tr>
          <w:tr w:rsidR="00A965EE">
            <w:tc>
              <w:tcPr>
                <w:tcW w:w="4500" w:type="dxa"/>
              </w:tcPr>
              <w:p w:rsidR="00A965EE" w:rsidRDefault="009B1E3A">
                <w:pPr>
                  <w:suppressLineNumbers/>
                  <w:spacing w:after="2"/>
                  <w:rPr>
                    <w:i/>
                  </w:rPr>
                </w:pPr>
                <w:r>
                  <w:rPr>
                    <w:i/>
                  </w:rPr>
                  <w:t>Evandro Carvalho</w:t>
                </w:r>
              </w:p>
            </w:tc>
            <w:tc>
              <w:tcPr>
                <w:tcW w:w="4500" w:type="dxa"/>
              </w:tcPr>
              <w:p w:rsidR="00A965EE" w:rsidRDefault="009B1E3A">
                <w:pPr>
                  <w:suppressLineNumbers/>
                  <w:spacing w:after="2"/>
                </w:pPr>
                <w:r>
                  <w:rPr>
                    <w:i/>
                  </w:rPr>
                  <w:t>5th Suffolk</w:t>
                </w:r>
              </w:p>
            </w:tc>
          </w:tr>
          <w:tr w:rsidR="00A965EE">
            <w:tc>
              <w:tcPr>
                <w:tcW w:w="4500" w:type="dxa"/>
              </w:tcPr>
              <w:p w:rsidR="00A965EE" w:rsidRDefault="009B1E3A">
                <w:pPr>
                  <w:suppressLineNumbers/>
                  <w:spacing w:after="2"/>
                  <w:rPr>
                    <w:i/>
                  </w:rPr>
                </w:pPr>
                <w:r>
                  <w:rPr>
                    <w:i/>
                  </w:rPr>
                  <w:t>Eileen M. Donoghue</w:t>
                </w:r>
              </w:p>
            </w:tc>
            <w:tc>
              <w:tcPr>
                <w:tcW w:w="4500" w:type="dxa"/>
              </w:tcPr>
              <w:p w:rsidR="00A965EE" w:rsidRDefault="009B1E3A">
                <w:pPr>
                  <w:suppressLineNumbers/>
                  <w:spacing w:after="2"/>
                </w:pPr>
                <w:r>
                  <w:rPr>
                    <w:i/>
                  </w:rPr>
                  <w:t>First Middlesex</w:t>
                </w:r>
              </w:p>
            </w:tc>
          </w:tr>
          <w:tr w:rsidR="00A965EE">
            <w:tc>
              <w:tcPr>
                <w:tcW w:w="4500" w:type="dxa"/>
              </w:tcPr>
              <w:p w:rsidR="00A965EE" w:rsidRDefault="009B1E3A">
                <w:pPr>
                  <w:suppressLineNumbers/>
                  <w:spacing w:after="2"/>
                  <w:rPr>
                    <w:i/>
                  </w:rPr>
                </w:pPr>
                <w:r>
                  <w:rPr>
                    <w:i/>
                  </w:rPr>
                  <w:t>Cory Atkins</w:t>
                </w:r>
              </w:p>
            </w:tc>
            <w:tc>
              <w:tcPr>
                <w:tcW w:w="4500" w:type="dxa"/>
              </w:tcPr>
              <w:p w:rsidR="00A965EE" w:rsidRDefault="009B1E3A">
                <w:pPr>
                  <w:suppressLineNumbers/>
                  <w:spacing w:after="2"/>
                </w:pPr>
                <w:r>
                  <w:rPr>
                    <w:i/>
                  </w:rPr>
                  <w:t>14th Middlesex</w:t>
                </w:r>
              </w:p>
            </w:tc>
          </w:tr>
        </w:tbl>
      </w:sdtContent>
    </w:sdt>
    <w:p w:rsidR="00A965EE" w:rsidRDefault="009B1E3A">
      <w:pPr>
        <w:suppressLineNumbers/>
      </w:pPr>
      <w:r>
        <w:br w:type="page"/>
      </w:r>
    </w:p>
    <w:p w:rsidR="00A965EE" w:rsidRDefault="009B1E3A">
      <w:pPr>
        <w:suppressLineNumbers/>
        <w:spacing w:after="2"/>
        <w:jc w:val="center"/>
      </w:pPr>
      <w:r>
        <w:rPr>
          <w:rFonts w:ascii="Arial"/>
          <w:sz w:val="18"/>
        </w:rPr>
        <w:lastRenderedPageBreak/>
        <w:t>SENATE DOCKET, NO. 1362        FILED ON: 1/16/2015</w:t>
      </w:r>
    </w:p>
    <w:p w:rsidR="00A965EE" w:rsidRDefault="009B1E3A">
      <w:pPr>
        <w:suppressLineNumbers/>
        <w:spacing w:after="2"/>
        <w:jc w:val="center"/>
        <w:rPr>
          <w:b/>
          <w:sz w:val="48"/>
        </w:rPr>
      </w:pPr>
      <w:r>
        <w:rPr>
          <w:b/>
          <w:sz w:val="48"/>
        </w:rPr>
        <w:t>SENATE  .  .  .  .  .  .  .  .  .  .  .  .  .  .  No.         </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A965EE">
        <w:tc>
          <w:tcPr>
            <w:tcW w:w="9500" w:type="dxa"/>
          </w:tcPr>
          <w:p w:rsidR="00A965EE" w:rsidRDefault="009B1E3A">
            <w:pPr>
              <w:spacing w:after="0"/>
            </w:pPr>
            <w:bookmarkStart w:id="0" w:name="_GoBack" w:colFirst="0" w:colLast="1"/>
            <w:r>
              <w:t>[Pin Slip]</w:t>
            </w:r>
          </w:p>
        </w:tc>
      </w:tr>
      <w:bookmarkEnd w:id="0"/>
    </w:tbl>
    <w:p w:rsidR="00A965EE" w:rsidRDefault="00A965EE">
      <w:pPr>
        <w:suppressLineNumbers/>
        <w:spacing w:after="0"/>
      </w:pPr>
    </w:p>
    <w:p w:rsidR="00A965EE" w:rsidRDefault="009B1E3A">
      <w:pPr>
        <w:suppressLineNumbers/>
        <w:spacing w:after="0"/>
        <w:jc w:val="center"/>
      </w:pPr>
      <w:r>
        <w:rPr>
          <w:rFonts w:ascii="Old English Text MT"/>
          <w:sz w:val="32"/>
        </w:rPr>
        <w:t>The Commonwealth of Massachusetts</w:t>
      </w:r>
    </w:p>
    <w:p w:rsidR="00A965EE" w:rsidRDefault="00A965EE">
      <w:pPr>
        <w:suppressLineNumbers/>
        <w:spacing w:after="0"/>
      </w:pPr>
    </w:p>
    <w:p w:rsidR="00A965EE" w:rsidRDefault="009B1E3A">
      <w:pPr>
        <w:suppressLineNumbers/>
        <w:spacing w:after="0"/>
        <w:jc w:val="center"/>
      </w:pPr>
      <w:r>
        <w:rPr>
          <w:b/>
          <w:vertAlign w:val="superscript"/>
        </w:rPr>
        <w:t>_______________</w:t>
      </w:r>
    </w:p>
    <w:p w:rsidR="00A965EE" w:rsidRDefault="009B1E3A">
      <w:pPr>
        <w:suppressLineNumbers/>
        <w:spacing w:after="0"/>
        <w:jc w:val="center"/>
      </w:pPr>
      <w:r>
        <w:rPr>
          <w:b/>
          <w:sz w:val="18"/>
        </w:rPr>
        <w:t>In the One Hundred and Eighty-Ninth General Court</w:t>
      </w:r>
      <w:r>
        <w:rPr>
          <w:b/>
          <w:sz w:val="18"/>
        </w:rPr>
        <w:br/>
        <w:t>(2015-2016)</w:t>
      </w:r>
    </w:p>
    <w:p w:rsidR="00A965EE" w:rsidRDefault="009B1E3A">
      <w:pPr>
        <w:suppressLineNumbers/>
        <w:spacing w:after="0"/>
        <w:jc w:val="center"/>
      </w:pPr>
      <w:r>
        <w:rPr>
          <w:b/>
          <w:vertAlign w:val="superscript"/>
        </w:rPr>
        <w:t>_______________</w:t>
      </w:r>
    </w:p>
    <w:p w:rsidR="00A965EE" w:rsidRDefault="00A965EE">
      <w:pPr>
        <w:suppressLineNumbers/>
        <w:spacing w:after="0"/>
      </w:pPr>
    </w:p>
    <w:p w:rsidR="00A965EE" w:rsidRDefault="009B1E3A">
      <w:pPr>
        <w:suppressLineNumbers/>
        <w:spacing w:after="2"/>
      </w:pPr>
      <w:r>
        <w:t>An Act relative to healthy youth.</w:t>
      </w:r>
    </w:p>
    <w:p w:rsidR="00A965EE" w:rsidRDefault="00A965EE">
      <w:pPr>
        <w:suppressLineNumbers/>
        <w:spacing w:after="0"/>
      </w:pPr>
    </w:p>
    <w:p w:rsidR="00A965EE" w:rsidRDefault="009B1E3A">
      <w:pPr>
        <w:suppressLineNumbers/>
        <w:spacing w:after="0"/>
      </w:pPr>
      <w:r>
        <w:rPr>
          <w:i/>
          <w:sz w:val="20"/>
        </w:rPr>
        <w:tab/>
        <w:t>Be it enacted by the Senate and House of Representatives in General Court assembled, and</w:t>
      </w:r>
      <w:r>
        <w:rPr>
          <w:i/>
          <w:sz w:val="20"/>
        </w:rPr>
        <w:t xml:space="preserve"> by the authority of the same, as follows:</w:t>
      </w:r>
      <w:r>
        <w:br/>
      </w:r>
    </w:p>
    <w:p w:rsidR="00A965EE" w:rsidRDefault="009B1E3A">
      <w:pPr>
        <w:spacing w:line="480" w:lineRule="auto"/>
      </w:pPr>
      <w:r>
        <w:tab/>
        <w:t xml:space="preserve">SECTION 1. Chapter 71 of the General Laws, as appearing in the 2012 Official Edition, is hereby amended by inserting after Section 32A the following:— </w:t>
      </w:r>
    </w:p>
    <w:p w:rsidR="00A965EE" w:rsidRDefault="009B1E3A">
      <w:pPr>
        <w:spacing w:line="480" w:lineRule="auto"/>
      </w:pPr>
      <w:r>
        <w:tab/>
        <w:t>Section 32B. (1) For the purposes of this Act, the followi</w:t>
      </w:r>
      <w:r>
        <w:t xml:space="preserve">ng terms shall have the following meanings: </w:t>
      </w:r>
    </w:p>
    <w:p w:rsidR="00A965EE" w:rsidRDefault="009B1E3A">
      <w:pPr>
        <w:spacing w:line="480" w:lineRule="auto"/>
      </w:pPr>
      <w:r>
        <w:tab/>
        <w:t>“Age-appropriate” means topics, messages, and teaching methods suitable to particular ages or age groups of children and adolescents, based on developing cognitive, emotional, and behavioral capacity typical fo</w:t>
      </w:r>
      <w:r>
        <w:t xml:space="preserve">r the age or age group; </w:t>
      </w:r>
    </w:p>
    <w:p w:rsidR="00A965EE" w:rsidRDefault="009B1E3A">
      <w:pPr>
        <w:spacing w:line="480" w:lineRule="auto"/>
      </w:pPr>
      <w:r>
        <w:tab/>
        <w:t xml:space="preserve">“Department” means the Department of Elementary and Secondary Education; </w:t>
      </w:r>
    </w:p>
    <w:p w:rsidR="00A965EE" w:rsidRDefault="009B1E3A">
      <w:pPr>
        <w:spacing w:line="480" w:lineRule="auto"/>
      </w:pPr>
      <w:r>
        <w:tab/>
      </w:r>
      <w:r>
        <w:t xml:space="preserve">“Medically accurate” means supported by peer-reviewed research conducted in compliance with accepted scientific methods, and recognized as accurate and objective by leading medical, psychological, psychiatric, and public health organizations and agencies, </w:t>
      </w:r>
      <w:r>
        <w:t xml:space="preserve">and, where relevant, published in peer-reviewed journals. </w:t>
      </w:r>
    </w:p>
    <w:p w:rsidR="00A965EE" w:rsidRDefault="009B1E3A">
      <w:pPr>
        <w:spacing w:line="480" w:lineRule="auto"/>
      </w:pPr>
      <w:r>
        <w:lastRenderedPageBreak/>
        <w:tab/>
        <w:t>(2) Each school district or public school that offers sexual health education shall provide medically accurate, age-appropriate education. Sexual health education under this section shall: teach t</w:t>
      </w:r>
      <w:r>
        <w:t>he benefits of abstinence and delaying sexual activity in conjunction with the importance of effectively using contraceptives and barrier methods to prevent unintended pregnancy and sexually transmitted infections, including HIV/AIDS; teach students the sk</w:t>
      </w:r>
      <w:r>
        <w:t>ills to effectively negotiate and implement safer sexual activity; help students develop the relationship and communication skills to form healthy, respectful relationships free of violence, coercion, and intimidation and make healthy decisions about relat</w:t>
      </w:r>
      <w:r>
        <w:t xml:space="preserve">ionships and sexuality; and be appropriate for students regardless of gender, race, disability status, or sexual orientation. </w:t>
      </w:r>
    </w:p>
    <w:p w:rsidR="00A965EE" w:rsidRDefault="009B1E3A">
      <w:pPr>
        <w:spacing w:line="480" w:lineRule="auto"/>
      </w:pPr>
      <w:r>
        <w:tab/>
        <w:t>(3) Any school district or public school that utilizes the curricula consistent with the Massachusetts comprehensive health curr</w:t>
      </w:r>
      <w:r>
        <w:t xml:space="preserve">iculum framework shall be presumed to be in compliance with this section. </w:t>
      </w:r>
    </w:p>
    <w:p w:rsidR="00A965EE" w:rsidRDefault="009B1E3A">
      <w:pPr>
        <w:spacing w:line="480" w:lineRule="auto"/>
      </w:pPr>
      <w:r>
        <w:tab/>
        <w:t>SECTION 2. Said Chapter 71 is hereby amended by striking out said section 32A in its entirety and inserting in place thereof the following section:-</w:t>
      </w:r>
    </w:p>
    <w:p w:rsidR="00A965EE" w:rsidRDefault="009B1E3A">
      <w:pPr>
        <w:spacing w:line="480" w:lineRule="auto"/>
      </w:pPr>
      <w:r>
        <w:tab/>
        <w:t>Section 32A. Every city, town,</w:t>
      </w:r>
      <w:r>
        <w:t xml:space="preserve"> regional school district or vocational school district implementing or maintaining curriculum, which primarily involves human sexual education or human sexuality issues shall adopt a written policy ensuring parental or legal guardian notification of the c</w:t>
      </w:r>
      <w:r>
        <w:t>omprehensive sexual health education that the school will provide and the right of the parent or legal guardian to withdraw his or her child from all or part of the instruction, and the process by which said withdrawal is communicated to the school. Said p</w:t>
      </w:r>
      <w:r>
        <w:t xml:space="preserve">olicy shall also advise parents and legal guardians that instruction materials and related items for said </w:t>
      </w:r>
      <w:r>
        <w:lastRenderedPageBreak/>
        <w:t>curriculum shall be made reasonably accessible to parents and guardians for inspection and review, and shall specify when and where such materials wil</w:t>
      </w:r>
      <w:r>
        <w:t>l be available.</w:t>
      </w:r>
    </w:p>
    <w:p w:rsidR="00A965EE" w:rsidRDefault="009B1E3A">
      <w:pPr>
        <w:spacing w:line="480" w:lineRule="auto"/>
      </w:pPr>
      <w:r>
        <w:tab/>
        <w:t>To the extent possible, such notification shall be provided in English and in the native language of the parents and legal guardians. If the arrangements for such instruction are made after the start of the school year, to the extent possi</w:t>
      </w:r>
      <w:r>
        <w:t>ble, this notification shall be sent out no later than 10 days prior to the start of instruction.</w:t>
      </w:r>
    </w:p>
    <w:p w:rsidR="00A965EE" w:rsidRDefault="009B1E3A">
      <w:pPr>
        <w:spacing w:line="480" w:lineRule="auto"/>
      </w:pPr>
      <w:r>
        <w:tab/>
        <w:t>Students whose parents or legal guardians have withdrawn them from all or part of sexual health instruction shall not be subject to disciplinary action, acad</w:t>
      </w:r>
      <w:r>
        <w:t>emic penalty, or other sanction. An alternative educational activity shall be made available to students whose parents have excused them from the instruction.</w:t>
      </w:r>
    </w:p>
    <w:p w:rsidR="00A965EE" w:rsidRDefault="009B1E3A">
      <w:pPr>
        <w:spacing w:line="480" w:lineRule="auto"/>
      </w:pPr>
      <w:r>
        <w:tab/>
        <w:t>SECTION 3. Section 1I of Chapter 69 of the General Laws, as appearing in the 2012 Official Editi</w:t>
      </w:r>
      <w:r>
        <w:t xml:space="preserve">on, is hereby amended by inserting at the end thereof the following:— </w:t>
      </w:r>
    </w:p>
    <w:p w:rsidR="00A965EE" w:rsidRDefault="009B1E3A">
      <w:pPr>
        <w:spacing w:line="480" w:lineRule="auto"/>
      </w:pPr>
      <w:r>
        <w:tab/>
        <w:t>(a) No sooner than the academic year 2015-2016, each school district and Commonwealth charter school shall file a report regarding sexual health education in the district with the depa</w:t>
      </w:r>
      <w:r>
        <w:t>rtment every year by a date and in a format determined by the board. Said report shall include, but not be limited to, the following data for each public school district and Commonwealth charter school, by grade level:</w:t>
      </w:r>
    </w:p>
    <w:p w:rsidR="00A965EE" w:rsidRDefault="009B1E3A">
      <w:pPr>
        <w:spacing w:line="480" w:lineRule="auto"/>
      </w:pPr>
      <w:r>
        <w:tab/>
        <w:t>a. a description of any sexual healt</w:t>
      </w:r>
      <w:r>
        <w:t>h education curricula offered;</w:t>
      </w:r>
    </w:p>
    <w:p w:rsidR="00A965EE" w:rsidRDefault="009B1E3A">
      <w:pPr>
        <w:spacing w:line="480" w:lineRule="auto"/>
      </w:pPr>
      <w:r>
        <w:tab/>
        <w:t xml:space="preserve">b. the approximate number of hours spent on sexual health education; </w:t>
      </w:r>
    </w:p>
    <w:p w:rsidR="00A965EE" w:rsidRDefault="009B1E3A">
      <w:pPr>
        <w:spacing w:line="480" w:lineRule="auto"/>
      </w:pPr>
      <w:r>
        <w:tab/>
        <w:t xml:space="preserve">c. the number of students receiving sexual health education; and </w:t>
      </w:r>
    </w:p>
    <w:p w:rsidR="00A965EE" w:rsidRDefault="009B1E3A">
      <w:pPr>
        <w:spacing w:line="480" w:lineRule="auto"/>
      </w:pPr>
      <w:r>
        <w:lastRenderedPageBreak/>
        <w:tab/>
        <w:t>d. the number of students who withdraw from sexual health education, pursuant to secti</w:t>
      </w:r>
      <w:r>
        <w:t>on 32A.</w:t>
      </w:r>
    </w:p>
    <w:sectPr w:rsidR="00A965EE" w:rsidSect="00C57F77">
      <w:footerReference w:type="default" r:id="rId11"/>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1E3A">
      <w:pPr>
        <w:spacing w:after="0" w:line="240" w:lineRule="auto"/>
      </w:pPr>
      <w:r>
        <w:separator/>
      </w:r>
    </w:p>
  </w:endnote>
  <w:endnote w:type="continuationSeparator" w:id="0">
    <w:p w:rsidR="00000000" w:rsidRDefault="009B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D9" w:rsidRDefault="009B1E3A" w:rsidP="00F313D9">
    <w:pPr>
      <w:jc w:val="center"/>
    </w:pP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NUMPAGES   \* MERGEFORMAT </w:instrText>
    </w:r>
    <w:r>
      <w:fldChar w:fldCharType="separate"/>
    </w:r>
    <w:r>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1E3A">
      <w:pPr>
        <w:spacing w:after="0" w:line="240" w:lineRule="auto"/>
      </w:pPr>
      <w:r>
        <w:separator/>
      </w:r>
    </w:p>
  </w:footnote>
  <w:footnote w:type="continuationSeparator" w:id="0">
    <w:p w:rsidR="00000000" w:rsidRDefault="009B1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5ED3"/>
    <w:multiLevelType w:val="multilevel"/>
    <w:tmpl w:val="96F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6455F4"/>
    <w:multiLevelType w:val="multilevel"/>
    <w:tmpl w:val="54D611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8C"/>
    <w:rsid w:val="001F22F1"/>
    <w:rsid w:val="002507E7"/>
    <w:rsid w:val="002F70E8"/>
    <w:rsid w:val="003F483C"/>
    <w:rsid w:val="004F1BC6"/>
    <w:rsid w:val="00840086"/>
    <w:rsid w:val="008C7F7F"/>
    <w:rsid w:val="009B1E3A"/>
    <w:rsid w:val="00A965EE"/>
    <w:rsid w:val="00AC4313"/>
    <w:rsid w:val="00C56B1A"/>
    <w:rsid w:val="00D2418C"/>
    <w:rsid w:val="00DD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2C286753AD71478301A76834F28F3B" ma:contentTypeVersion="0" ma:contentTypeDescription="Create a new document." ma:contentTypeScope="" ma:versionID="a322917965c2d5cf3b4138d3a1b53e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FCC30E5-C021-4A68-A5B2-3933C481E9F4}">
  <ds:schemaRefs>
    <ds:schemaRef ds:uri="http://schemas.microsoft.com/sharepoint/v3/contenttype/forms"/>
  </ds:schemaRefs>
</ds:datastoreItem>
</file>

<file path=customXml/itemProps2.xml><?xml version="1.0" encoding="utf-8"?>
<ds:datastoreItem xmlns:ds="http://schemas.openxmlformats.org/officeDocument/2006/customXml" ds:itemID="{892F919D-CCB5-4AD1-9CF6-86C1085E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AB9FA99-AE0E-4520-B045-976FC4B24E4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5752</Characters>
  <Application>Microsoft Office Word</Application>
  <DocSecurity>4</DocSecurity>
  <Lines>47</Lines>
  <Paragraphs>13</Paragraphs>
  <ScaleCrop>false</ScaleCrop>
  <Company>MA Legislature</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Legislature, LAWS</dc:creator>
  <cp:lastModifiedBy>Landry, AnneJohnson (SEN)</cp:lastModifiedBy>
  <cp:revision>2</cp:revision>
  <dcterms:created xsi:type="dcterms:W3CDTF">2015-02-06T20:08:00Z</dcterms:created>
  <dcterms:modified xsi:type="dcterms:W3CDTF">2015-02-06T20:08:00Z</dcterms:modified>
</cp:coreProperties>
</file>