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EC" w:rsidRDefault="00E441C4">
      <w:pPr>
        <w:suppressLineNumbers/>
        <w:spacing w:after="2"/>
        <w:jc w:val="center"/>
      </w:pPr>
      <w:bookmarkStart w:id="0" w:name="_GoBack"/>
      <w:bookmarkEnd w:id="0"/>
      <w:r>
        <w:rPr>
          <w:rFonts w:ascii="Arial"/>
          <w:sz w:val="18"/>
        </w:rPr>
        <w:t>SENATE DOCKET, NO. 1021        FILED ON: 1/15/2015</w:t>
      </w:r>
    </w:p>
    <w:p w:rsidR="002E2BEC" w:rsidRDefault="00E441C4">
      <w:pPr>
        <w:suppressLineNumbers/>
        <w:spacing w:after="2"/>
        <w:jc w:val="center"/>
        <w:rPr>
          <w:b/>
          <w:sz w:val="48"/>
        </w:rPr>
      </w:pPr>
      <w:r>
        <w:rPr>
          <w:b/>
          <w:sz w:val="48"/>
        </w:rPr>
        <w:t>SENATE  .  .  .  .  .  .  .  .  .  .  .  .  .  .  No.         </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2E2BEC">
        <w:tc>
          <w:tcPr>
            <w:tcW w:w="9500" w:type="dxa"/>
          </w:tcPr>
          <w:p w:rsidR="002E2BEC" w:rsidRDefault="002E2BEC">
            <w:pPr>
              <w:suppressLineNumbers/>
              <w:jc w:val="right"/>
              <w:rPr>
                <w:b/>
                <w:sz w:val="28"/>
              </w:rPr>
            </w:pPr>
          </w:p>
        </w:tc>
      </w:tr>
    </w:tbl>
    <w:p w:rsidR="002E2BEC" w:rsidRDefault="00E441C4">
      <w:pPr>
        <w:suppressLineNumbers/>
        <w:spacing w:after="0"/>
        <w:jc w:val="center"/>
      </w:pPr>
      <w:r>
        <w:rPr>
          <w:rFonts w:ascii="Old English Text MT"/>
          <w:sz w:val="32"/>
        </w:rPr>
        <w:t>The Commonwealth of Massachusetts</w:t>
      </w:r>
    </w:p>
    <w:p w:rsidR="002E2BEC" w:rsidRDefault="00E441C4">
      <w:pPr>
        <w:suppressLineNumbers/>
        <w:jc w:val="center"/>
      </w:pPr>
      <w:r>
        <w:rPr>
          <w:b/>
          <w:sz w:val="20"/>
        </w:rPr>
        <w:t>_________________</w:t>
      </w:r>
    </w:p>
    <w:p w:rsidR="002E2BEC" w:rsidRDefault="00E441C4">
      <w:pPr>
        <w:suppressLineNumbers/>
        <w:jc w:val="center"/>
      </w:pPr>
      <w:r>
        <w:rPr>
          <w:sz w:val="20"/>
        </w:rPr>
        <w:t>PRESENTED BY:</w:t>
      </w:r>
    </w:p>
    <w:p w:rsidR="002E2BEC" w:rsidRDefault="00E441C4">
      <w:pPr>
        <w:suppressLineNumbers/>
        <w:spacing w:after="0"/>
        <w:jc w:val="center"/>
      </w:pPr>
      <w:r>
        <w:rPr>
          <w:b/>
          <w:i/>
        </w:rPr>
        <w:t>Karen E. Spilka</w:t>
      </w:r>
    </w:p>
    <w:p w:rsidR="002E2BEC" w:rsidRDefault="00E441C4">
      <w:pPr>
        <w:suppressLineNumbers/>
        <w:jc w:val="center"/>
      </w:pPr>
      <w:r>
        <w:rPr>
          <w:b/>
          <w:sz w:val="20"/>
        </w:rPr>
        <w:t>_________________</w:t>
      </w:r>
    </w:p>
    <w:p w:rsidR="002E2BEC" w:rsidRDefault="00E441C4">
      <w:pPr>
        <w:suppressLineNumbers/>
      </w:pPr>
      <w:r>
        <w:rPr>
          <w:i/>
          <w:sz w:val="20"/>
        </w:rPr>
        <w:t xml:space="preserve">To the Honorable Senate and House of </w:t>
      </w:r>
      <w:r>
        <w:rPr>
          <w:i/>
          <w:sz w:val="20"/>
        </w:rPr>
        <w:t>Representatives of the Commonwealth of Massachusetts in General</w:t>
      </w:r>
      <w:r>
        <w:rPr>
          <w:i/>
          <w:sz w:val="20"/>
        </w:rPr>
        <w:br/>
      </w:r>
      <w:r>
        <w:rPr>
          <w:i/>
          <w:sz w:val="20"/>
        </w:rPr>
        <w:tab/>
        <w:t>Court assembled:</w:t>
      </w:r>
    </w:p>
    <w:p w:rsidR="002E2BEC" w:rsidRDefault="00E441C4">
      <w:pPr>
        <w:suppressLineNumbers/>
      </w:pPr>
      <w:r>
        <w:rPr>
          <w:sz w:val="20"/>
        </w:rPr>
        <w:tab/>
        <w:t>The undersigned legislators and/or citizens respectfully petition for the adoption of the accompanying bill:</w:t>
      </w:r>
    </w:p>
    <w:p w:rsidR="002E2BEC" w:rsidRDefault="00E441C4">
      <w:pPr>
        <w:suppressLineNumbers/>
        <w:spacing w:after="2"/>
        <w:jc w:val="center"/>
      </w:pPr>
      <w:r>
        <w:t>An Act to protect access to confidential healthcare.</w:t>
      </w:r>
    </w:p>
    <w:p w:rsidR="002E2BEC" w:rsidRDefault="00E441C4">
      <w:pPr>
        <w:suppressLineNumbers/>
        <w:spacing w:before="2"/>
        <w:jc w:val="center"/>
      </w:pPr>
      <w:r>
        <w:rPr>
          <w:b/>
        </w:rPr>
        <w:t>___________</w:t>
      </w:r>
      <w:r>
        <w:rPr>
          <w:b/>
        </w:rPr>
        <w:t>____</w:t>
      </w:r>
    </w:p>
    <w:p w:rsidR="002E2BEC" w:rsidRDefault="00E441C4">
      <w:pPr>
        <w:suppressLineNumbers/>
        <w:spacing w:before="2" w:after="2"/>
        <w:jc w:val="center"/>
      </w:pPr>
      <w:r>
        <w:rPr>
          <w:sz w:val="20"/>
        </w:rPr>
        <w:t>PETITION OF:</w:t>
      </w:r>
    </w:p>
    <w:p w:rsidR="002E2BEC" w:rsidRDefault="002E2BEC">
      <w:pPr>
        <w:suppressLineNumbers/>
      </w:pPr>
    </w:p>
    <w:sdt>
      <w:sdtPr>
        <w:id w:val="1"/>
      </w:sdtPr>
      <w:sdtEnd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2E2BEC">
            <w:tc>
              <w:tcPr>
                <w:tcW w:w="4500" w:type="dxa"/>
                <w:tcBorders>
                  <w:top w:val="nil"/>
                  <w:bottom w:val="single" w:sz="4" w:space="0" w:color="auto"/>
                  <w:right w:val="single" w:sz="4" w:space="0" w:color="auto"/>
                </w:tcBorders>
              </w:tcPr>
              <w:p w:rsidR="002E2BEC" w:rsidRDefault="00E441C4">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2E2BEC" w:rsidRDefault="00E441C4">
                <w:pPr>
                  <w:suppressLineNumbers/>
                  <w:spacing w:after="2"/>
                  <w:rPr>
                    <w:smallCaps/>
                  </w:rPr>
                </w:pPr>
                <w:r>
                  <w:rPr>
                    <w:smallCaps/>
                  </w:rPr>
                  <w:t>District/Address:</w:t>
                </w:r>
              </w:p>
            </w:tc>
          </w:tr>
          <w:tr w:rsidR="002E2BEC">
            <w:tc>
              <w:tcPr>
                <w:tcW w:w="4500" w:type="dxa"/>
              </w:tcPr>
              <w:p w:rsidR="002E2BEC" w:rsidRDefault="00E441C4">
                <w:pPr>
                  <w:suppressLineNumbers/>
                  <w:spacing w:after="2"/>
                  <w:rPr>
                    <w:i/>
                  </w:rPr>
                </w:pPr>
                <w:r>
                  <w:rPr>
                    <w:i/>
                  </w:rPr>
                  <w:t>Karen E. Spilka</w:t>
                </w:r>
              </w:p>
            </w:tc>
            <w:tc>
              <w:tcPr>
                <w:tcW w:w="4500" w:type="dxa"/>
              </w:tcPr>
              <w:p w:rsidR="002E2BEC" w:rsidRDefault="00E441C4">
                <w:pPr>
                  <w:suppressLineNumbers/>
                  <w:spacing w:after="2"/>
                </w:pPr>
                <w:r>
                  <w:rPr>
                    <w:i/>
                  </w:rPr>
                  <w:t>Second Middlesex and Norfolk</w:t>
                </w:r>
              </w:p>
            </w:tc>
          </w:tr>
          <w:tr w:rsidR="002E2BEC">
            <w:tc>
              <w:tcPr>
                <w:tcW w:w="4500" w:type="dxa"/>
              </w:tcPr>
              <w:p w:rsidR="002E2BEC" w:rsidRDefault="00E441C4">
                <w:pPr>
                  <w:suppressLineNumbers/>
                  <w:spacing w:after="2"/>
                  <w:rPr>
                    <w:i/>
                  </w:rPr>
                </w:pPr>
                <w:r>
                  <w:rPr>
                    <w:i/>
                  </w:rPr>
                  <w:t>David Paul Linsky</w:t>
                </w:r>
              </w:p>
            </w:tc>
            <w:tc>
              <w:tcPr>
                <w:tcW w:w="4500" w:type="dxa"/>
              </w:tcPr>
              <w:p w:rsidR="002E2BEC" w:rsidRDefault="00E441C4">
                <w:pPr>
                  <w:suppressLineNumbers/>
                  <w:spacing w:after="2"/>
                </w:pPr>
                <w:r>
                  <w:rPr>
                    <w:i/>
                  </w:rPr>
                  <w:t>5th Middlesex</w:t>
                </w:r>
              </w:p>
            </w:tc>
          </w:tr>
          <w:tr w:rsidR="002E2BEC">
            <w:tc>
              <w:tcPr>
                <w:tcW w:w="4500" w:type="dxa"/>
              </w:tcPr>
              <w:p w:rsidR="002E2BEC" w:rsidRDefault="00E441C4">
                <w:pPr>
                  <w:suppressLineNumbers/>
                  <w:spacing w:after="2"/>
                  <w:rPr>
                    <w:i/>
                  </w:rPr>
                </w:pPr>
                <w:r>
                  <w:rPr>
                    <w:i/>
                  </w:rPr>
                  <w:t>Jason M. Lewis</w:t>
                </w:r>
              </w:p>
            </w:tc>
            <w:tc>
              <w:tcPr>
                <w:tcW w:w="4500" w:type="dxa"/>
              </w:tcPr>
              <w:p w:rsidR="002E2BEC" w:rsidRDefault="00E441C4">
                <w:pPr>
                  <w:suppressLineNumbers/>
                  <w:spacing w:after="2"/>
                </w:pPr>
                <w:r>
                  <w:rPr>
                    <w:i/>
                  </w:rPr>
                  <w:t>Fifth Middlesex</w:t>
                </w:r>
              </w:p>
            </w:tc>
          </w:tr>
          <w:tr w:rsidR="002E2BEC">
            <w:tc>
              <w:tcPr>
                <w:tcW w:w="4500" w:type="dxa"/>
              </w:tcPr>
              <w:p w:rsidR="002E2BEC" w:rsidRDefault="00E441C4">
                <w:pPr>
                  <w:suppressLineNumbers/>
                  <w:spacing w:after="2"/>
                  <w:rPr>
                    <w:i/>
                  </w:rPr>
                </w:pPr>
                <w:r>
                  <w:rPr>
                    <w:i/>
                  </w:rPr>
                  <w:t>Michael O. Moore</w:t>
                </w:r>
              </w:p>
            </w:tc>
            <w:tc>
              <w:tcPr>
                <w:tcW w:w="4500" w:type="dxa"/>
              </w:tcPr>
              <w:p w:rsidR="002E2BEC" w:rsidRDefault="00E441C4">
                <w:pPr>
                  <w:suppressLineNumbers/>
                  <w:spacing w:after="2"/>
                </w:pPr>
                <w:r>
                  <w:rPr>
                    <w:i/>
                  </w:rPr>
                  <w:t>Second Worcester</w:t>
                </w:r>
              </w:p>
            </w:tc>
          </w:tr>
          <w:tr w:rsidR="002E2BEC">
            <w:tc>
              <w:tcPr>
                <w:tcW w:w="4500" w:type="dxa"/>
              </w:tcPr>
              <w:p w:rsidR="002E2BEC" w:rsidRDefault="00E441C4">
                <w:pPr>
                  <w:suppressLineNumbers/>
                  <w:spacing w:after="2"/>
                  <w:rPr>
                    <w:i/>
                  </w:rPr>
                </w:pPr>
                <w:r>
                  <w:rPr>
                    <w:i/>
                  </w:rPr>
                  <w:t>Paul R. Heroux</w:t>
                </w:r>
              </w:p>
            </w:tc>
            <w:tc>
              <w:tcPr>
                <w:tcW w:w="4500" w:type="dxa"/>
              </w:tcPr>
              <w:p w:rsidR="002E2BEC" w:rsidRDefault="00E441C4">
                <w:pPr>
                  <w:suppressLineNumbers/>
                  <w:spacing w:after="2"/>
                </w:pPr>
                <w:r>
                  <w:rPr>
                    <w:i/>
                  </w:rPr>
                  <w:t>2nd Bristol</w:t>
                </w:r>
              </w:p>
            </w:tc>
          </w:tr>
          <w:tr w:rsidR="002E2BEC">
            <w:tc>
              <w:tcPr>
                <w:tcW w:w="4500" w:type="dxa"/>
              </w:tcPr>
              <w:p w:rsidR="002E2BEC" w:rsidRDefault="00E441C4">
                <w:pPr>
                  <w:suppressLineNumbers/>
                  <w:spacing w:after="2"/>
                  <w:rPr>
                    <w:i/>
                  </w:rPr>
                </w:pPr>
                <w:r>
                  <w:rPr>
                    <w:i/>
                  </w:rPr>
                  <w:t>Stephen Kulik</w:t>
                </w:r>
              </w:p>
            </w:tc>
            <w:tc>
              <w:tcPr>
                <w:tcW w:w="4500" w:type="dxa"/>
              </w:tcPr>
              <w:p w:rsidR="002E2BEC" w:rsidRDefault="00E441C4">
                <w:pPr>
                  <w:suppressLineNumbers/>
                  <w:spacing w:after="2"/>
                </w:pPr>
                <w:r>
                  <w:rPr>
                    <w:i/>
                  </w:rPr>
                  <w:t>1st Franklin</w:t>
                </w:r>
              </w:p>
            </w:tc>
          </w:tr>
          <w:tr w:rsidR="002E2BEC">
            <w:tc>
              <w:tcPr>
                <w:tcW w:w="4500" w:type="dxa"/>
              </w:tcPr>
              <w:p w:rsidR="002E2BEC" w:rsidRDefault="00E441C4">
                <w:pPr>
                  <w:suppressLineNumbers/>
                  <w:spacing w:after="2"/>
                  <w:rPr>
                    <w:i/>
                  </w:rPr>
                </w:pPr>
                <w:r>
                  <w:rPr>
                    <w:i/>
                  </w:rPr>
                  <w:t xml:space="preserve">Jose F. </w:t>
                </w:r>
                <w:r>
                  <w:rPr>
                    <w:i/>
                  </w:rPr>
                  <w:t>Tosado</w:t>
                </w:r>
              </w:p>
            </w:tc>
            <w:tc>
              <w:tcPr>
                <w:tcW w:w="4500" w:type="dxa"/>
              </w:tcPr>
              <w:p w:rsidR="002E2BEC" w:rsidRDefault="00E441C4">
                <w:pPr>
                  <w:suppressLineNumbers/>
                  <w:spacing w:after="2"/>
                </w:pPr>
                <w:r>
                  <w:rPr>
                    <w:i/>
                  </w:rPr>
                  <w:t>9th Hampden</w:t>
                </w:r>
              </w:p>
            </w:tc>
          </w:tr>
          <w:tr w:rsidR="002E2BEC">
            <w:tc>
              <w:tcPr>
                <w:tcW w:w="4500" w:type="dxa"/>
              </w:tcPr>
              <w:p w:rsidR="002E2BEC" w:rsidRDefault="00E441C4">
                <w:pPr>
                  <w:suppressLineNumbers/>
                  <w:spacing w:after="2"/>
                  <w:rPr>
                    <w:i/>
                  </w:rPr>
                </w:pPr>
                <w:r>
                  <w:rPr>
                    <w:i/>
                  </w:rPr>
                  <w:t>James B. Eldridge</w:t>
                </w:r>
              </w:p>
            </w:tc>
            <w:tc>
              <w:tcPr>
                <w:tcW w:w="4500" w:type="dxa"/>
              </w:tcPr>
              <w:p w:rsidR="002E2BEC" w:rsidRDefault="00E441C4">
                <w:pPr>
                  <w:suppressLineNumbers/>
                  <w:spacing w:after="2"/>
                </w:pPr>
                <w:r>
                  <w:rPr>
                    <w:i/>
                  </w:rPr>
                  <w:t>Middlesex and Worcester</w:t>
                </w:r>
              </w:p>
            </w:tc>
          </w:tr>
          <w:tr w:rsidR="002E2BEC">
            <w:tc>
              <w:tcPr>
                <w:tcW w:w="4500" w:type="dxa"/>
              </w:tcPr>
              <w:p w:rsidR="002E2BEC" w:rsidRDefault="00E441C4">
                <w:pPr>
                  <w:suppressLineNumbers/>
                  <w:spacing w:after="2"/>
                  <w:rPr>
                    <w:i/>
                  </w:rPr>
                </w:pPr>
                <w:r>
                  <w:rPr>
                    <w:i/>
                  </w:rPr>
                  <w:t>Marjorie C. Decker</w:t>
                </w:r>
              </w:p>
            </w:tc>
            <w:tc>
              <w:tcPr>
                <w:tcW w:w="4500" w:type="dxa"/>
              </w:tcPr>
              <w:p w:rsidR="002E2BEC" w:rsidRDefault="00E441C4">
                <w:pPr>
                  <w:suppressLineNumbers/>
                  <w:spacing w:after="2"/>
                </w:pPr>
                <w:r>
                  <w:rPr>
                    <w:i/>
                  </w:rPr>
                  <w:t>25th Middlesex</w:t>
                </w:r>
              </w:p>
            </w:tc>
          </w:tr>
          <w:tr w:rsidR="002E2BEC">
            <w:tc>
              <w:tcPr>
                <w:tcW w:w="4500" w:type="dxa"/>
              </w:tcPr>
              <w:p w:rsidR="002E2BEC" w:rsidRDefault="00E441C4">
                <w:pPr>
                  <w:suppressLineNumbers/>
                  <w:spacing w:after="2"/>
                  <w:rPr>
                    <w:i/>
                  </w:rPr>
                </w:pPr>
                <w:r>
                  <w:rPr>
                    <w:i/>
                  </w:rPr>
                  <w:t>Michael J. Barrett</w:t>
                </w:r>
              </w:p>
            </w:tc>
            <w:tc>
              <w:tcPr>
                <w:tcW w:w="4500" w:type="dxa"/>
              </w:tcPr>
              <w:p w:rsidR="002E2BEC" w:rsidRDefault="00E441C4">
                <w:pPr>
                  <w:suppressLineNumbers/>
                  <w:spacing w:after="2"/>
                </w:pPr>
                <w:r>
                  <w:rPr>
                    <w:i/>
                  </w:rPr>
                  <w:t>Third Middlesex</w:t>
                </w:r>
              </w:p>
            </w:tc>
          </w:tr>
          <w:tr w:rsidR="002E2BEC">
            <w:tc>
              <w:tcPr>
                <w:tcW w:w="4500" w:type="dxa"/>
              </w:tcPr>
              <w:p w:rsidR="002E2BEC" w:rsidRDefault="00E441C4">
                <w:pPr>
                  <w:suppressLineNumbers/>
                  <w:spacing w:after="2"/>
                  <w:rPr>
                    <w:i/>
                  </w:rPr>
                </w:pPr>
                <w:r>
                  <w:rPr>
                    <w:i/>
                  </w:rPr>
                  <w:t>Sal N. DiDomenico</w:t>
                </w:r>
              </w:p>
            </w:tc>
            <w:tc>
              <w:tcPr>
                <w:tcW w:w="4500" w:type="dxa"/>
              </w:tcPr>
              <w:p w:rsidR="002E2BEC" w:rsidRDefault="00E441C4">
                <w:pPr>
                  <w:suppressLineNumbers/>
                  <w:spacing w:after="2"/>
                </w:pPr>
                <w:r>
                  <w:rPr>
                    <w:i/>
                  </w:rPr>
                  <w:t>Middlesex and Suffolk</w:t>
                </w:r>
              </w:p>
            </w:tc>
          </w:tr>
          <w:tr w:rsidR="002E2BEC">
            <w:tc>
              <w:tcPr>
                <w:tcW w:w="4500" w:type="dxa"/>
              </w:tcPr>
              <w:p w:rsidR="002E2BEC" w:rsidRDefault="00E441C4">
                <w:pPr>
                  <w:suppressLineNumbers/>
                  <w:spacing w:after="2"/>
                  <w:rPr>
                    <w:i/>
                  </w:rPr>
                </w:pPr>
                <w:r>
                  <w:rPr>
                    <w:i/>
                  </w:rPr>
                  <w:t>William N. Brownsberger</w:t>
                </w:r>
              </w:p>
            </w:tc>
            <w:tc>
              <w:tcPr>
                <w:tcW w:w="4500" w:type="dxa"/>
              </w:tcPr>
              <w:p w:rsidR="002E2BEC" w:rsidRDefault="00E441C4">
                <w:pPr>
                  <w:suppressLineNumbers/>
                  <w:spacing w:after="2"/>
                </w:pPr>
                <w:r>
                  <w:rPr>
                    <w:i/>
                  </w:rPr>
                  <w:t>Second Suffolk and Middlesex</w:t>
                </w:r>
              </w:p>
            </w:tc>
          </w:tr>
          <w:tr w:rsidR="002E2BEC">
            <w:tc>
              <w:tcPr>
                <w:tcW w:w="4500" w:type="dxa"/>
              </w:tcPr>
              <w:p w:rsidR="002E2BEC" w:rsidRDefault="00E441C4">
                <w:pPr>
                  <w:suppressLineNumbers/>
                  <w:spacing w:after="2"/>
                  <w:rPr>
                    <w:i/>
                  </w:rPr>
                </w:pPr>
                <w:r>
                  <w:rPr>
                    <w:i/>
                  </w:rPr>
                  <w:t>Carolyn C. Dykema</w:t>
                </w:r>
              </w:p>
            </w:tc>
            <w:tc>
              <w:tcPr>
                <w:tcW w:w="4500" w:type="dxa"/>
              </w:tcPr>
              <w:p w:rsidR="002E2BEC" w:rsidRDefault="00E441C4">
                <w:pPr>
                  <w:suppressLineNumbers/>
                  <w:spacing w:after="2"/>
                </w:pPr>
                <w:r>
                  <w:rPr>
                    <w:i/>
                  </w:rPr>
                  <w:t xml:space="preserve">8th </w:t>
                </w:r>
                <w:r>
                  <w:rPr>
                    <w:i/>
                  </w:rPr>
                  <w:t>Middlesex</w:t>
                </w:r>
              </w:p>
            </w:tc>
          </w:tr>
          <w:tr w:rsidR="002E2BEC">
            <w:tc>
              <w:tcPr>
                <w:tcW w:w="4500" w:type="dxa"/>
              </w:tcPr>
              <w:p w:rsidR="002E2BEC" w:rsidRDefault="00E441C4">
                <w:pPr>
                  <w:suppressLineNumbers/>
                  <w:spacing w:after="2"/>
                  <w:rPr>
                    <w:i/>
                  </w:rPr>
                </w:pPr>
                <w:r>
                  <w:rPr>
                    <w:i/>
                  </w:rPr>
                  <w:t>Cynthia S. Creem</w:t>
                </w:r>
              </w:p>
            </w:tc>
            <w:tc>
              <w:tcPr>
                <w:tcW w:w="4500" w:type="dxa"/>
              </w:tcPr>
              <w:p w:rsidR="002E2BEC" w:rsidRDefault="00E441C4">
                <w:pPr>
                  <w:suppressLineNumbers/>
                  <w:spacing w:after="2"/>
                </w:pPr>
                <w:r>
                  <w:rPr>
                    <w:i/>
                  </w:rPr>
                  <w:t>First Middlesex and Norfolk</w:t>
                </w:r>
              </w:p>
            </w:tc>
          </w:tr>
          <w:tr w:rsidR="002E2BEC">
            <w:tc>
              <w:tcPr>
                <w:tcW w:w="4500" w:type="dxa"/>
              </w:tcPr>
              <w:p w:rsidR="002E2BEC" w:rsidRDefault="00E441C4">
                <w:pPr>
                  <w:suppressLineNumbers/>
                  <w:spacing w:after="2"/>
                  <w:rPr>
                    <w:i/>
                  </w:rPr>
                </w:pPr>
                <w:r>
                  <w:rPr>
                    <w:i/>
                  </w:rPr>
                  <w:t>Benjamin B. Downing</w:t>
                </w:r>
              </w:p>
            </w:tc>
            <w:tc>
              <w:tcPr>
                <w:tcW w:w="4500" w:type="dxa"/>
              </w:tcPr>
              <w:p w:rsidR="002E2BEC" w:rsidRDefault="00E441C4">
                <w:pPr>
                  <w:suppressLineNumbers/>
                  <w:spacing w:after="2"/>
                </w:pPr>
                <w:r>
                  <w:rPr>
                    <w:i/>
                  </w:rPr>
                  <w:t>Berkshire, Hampshire, Franklin and Hampden</w:t>
                </w:r>
              </w:p>
            </w:tc>
          </w:tr>
          <w:tr w:rsidR="002E2BEC">
            <w:tc>
              <w:tcPr>
                <w:tcW w:w="4500" w:type="dxa"/>
              </w:tcPr>
              <w:p w:rsidR="002E2BEC" w:rsidRDefault="00E441C4">
                <w:pPr>
                  <w:suppressLineNumbers/>
                  <w:spacing w:after="2"/>
                  <w:rPr>
                    <w:i/>
                  </w:rPr>
                </w:pPr>
                <w:r>
                  <w:rPr>
                    <w:i/>
                  </w:rPr>
                  <w:t>Barbara L'Italien</w:t>
                </w:r>
              </w:p>
            </w:tc>
            <w:tc>
              <w:tcPr>
                <w:tcW w:w="4500" w:type="dxa"/>
              </w:tcPr>
              <w:p w:rsidR="002E2BEC" w:rsidRDefault="00E441C4">
                <w:pPr>
                  <w:suppressLineNumbers/>
                  <w:spacing w:after="2"/>
                </w:pPr>
                <w:r>
                  <w:rPr>
                    <w:i/>
                  </w:rPr>
                  <w:t>Second Essex and Middlesex</w:t>
                </w:r>
              </w:p>
            </w:tc>
          </w:tr>
          <w:tr w:rsidR="002E2BEC">
            <w:tc>
              <w:tcPr>
                <w:tcW w:w="4500" w:type="dxa"/>
              </w:tcPr>
              <w:p w:rsidR="002E2BEC" w:rsidRDefault="00E441C4">
                <w:pPr>
                  <w:suppressLineNumbers/>
                  <w:spacing w:after="2"/>
                  <w:rPr>
                    <w:i/>
                  </w:rPr>
                </w:pPr>
                <w:r>
                  <w:rPr>
                    <w:i/>
                  </w:rPr>
                  <w:t>Eric P. Lesser</w:t>
                </w:r>
              </w:p>
            </w:tc>
            <w:tc>
              <w:tcPr>
                <w:tcW w:w="4500" w:type="dxa"/>
              </w:tcPr>
              <w:p w:rsidR="002E2BEC" w:rsidRDefault="00E441C4">
                <w:pPr>
                  <w:suppressLineNumbers/>
                  <w:spacing w:after="2"/>
                </w:pPr>
                <w:r>
                  <w:rPr>
                    <w:i/>
                  </w:rPr>
                  <w:t>First Hampden and Hampshire</w:t>
                </w:r>
              </w:p>
            </w:tc>
          </w:tr>
          <w:tr w:rsidR="002E2BEC">
            <w:tc>
              <w:tcPr>
                <w:tcW w:w="4500" w:type="dxa"/>
              </w:tcPr>
              <w:p w:rsidR="002E2BEC" w:rsidRDefault="00E441C4">
                <w:pPr>
                  <w:suppressLineNumbers/>
                  <w:spacing w:after="2"/>
                  <w:rPr>
                    <w:i/>
                  </w:rPr>
                </w:pPr>
                <w:r>
                  <w:rPr>
                    <w:i/>
                  </w:rPr>
                  <w:lastRenderedPageBreak/>
                  <w:t>Kenneth J. Donnelly</w:t>
                </w:r>
              </w:p>
            </w:tc>
            <w:tc>
              <w:tcPr>
                <w:tcW w:w="4500" w:type="dxa"/>
              </w:tcPr>
              <w:p w:rsidR="002E2BEC" w:rsidRDefault="00E441C4">
                <w:pPr>
                  <w:suppressLineNumbers/>
                  <w:spacing w:after="2"/>
                </w:pPr>
                <w:r>
                  <w:rPr>
                    <w:i/>
                  </w:rPr>
                  <w:t>Fourth Middlesex</w:t>
                </w:r>
              </w:p>
            </w:tc>
          </w:tr>
          <w:tr w:rsidR="002E2BEC">
            <w:tc>
              <w:tcPr>
                <w:tcW w:w="4500" w:type="dxa"/>
              </w:tcPr>
              <w:p w:rsidR="002E2BEC" w:rsidRDefault="00E441C4">
                <w:pPr>
                  <w:suppressLineNumbers/>
                  <w:spacing w:after="2"/>
                  <w:rPr>
                    <w:i/>
                  </w:rPr>
                </w:pPr>
                <w:r>
                  <w:rPr>
                    <w:i/>
                  </w:rPr>
                  <w:t>Anne M.</w:t>
                </w:r>
                <w:r>
                  <w:rPr>
                    <w:i/>
                  </w:rPr>
                  <w:t xml:space="preserve"> Gobi</w:t>
                </w:r>
              </w:p>
            </w:tc>
            <w:tc>
              <w:tcPr>
                <w:tcW w:w="4500" w:type="dxa"/>
              </w:tcPr>
              <w:p w:rsidR="002E2BEC" w:rsidRDefault="00E441C4">
                <w:pPr>
                  <w:suppressLineNumbers/>
                  <w:spacing w:after="2"/>
                </w:pPr>
                <w:r>
                  <w:rPr>
                    <w:i/>
                  </w:rPr>
                  <w:t>Worcester, Hampden, Hampshire and Middlesex</w:t>
                </w:r>
              </w:p>
            </w:tc>
          </w:tr>
          <w:tr w:rsidR="002E2BEC">
            <w:tc>
              <w:tcPr>
                <w:tcW w:w="4500" w:type="dxa"/>
              </w:tcPr>
              <w:p w:rsidR="002E2BEC" w:rsidRDefault="00E441C4">
                <w:pPr>
                  <w:suppressLineNumbers/>
                  <w:spacing w:after="2"/>
                  <w:rPr>
                    <w:i/>
                  </w:rPr>
                </w:pPr>
                <w:r>
                  <w:rPr>
                    <w:i/>
                  </w:rPr>
                  <w:t>Steven Ultrino</w:t>
                </w:r>
              </w:p>
            </w:tc>
            <w:tc>
              <w:tcPr>
                <w:tcW w:w="4500" w:type="dxa"/>
              </w:tcPr>
              <w:p w:rsidR="002E2BEC" w:rsidRDefault="00E441C4">
                <w:pPr>
                  <w:suppressLineNumbers/>
                  <w:spacing w:after="2"/>
                </w:pPr>
                <w:r>
                  <w:rPr>
                    <w:i/>
                  </w:rPr>
                  <w:t>33rd Middlesex</w:t>
                </w:r>
              </w:p>
            </w:tc>
          </w:tr>
          <w:tr w:rsidR="002E2BEC">
            <w:tc>
              <w:tcPr>
                <w:tcW w:w="4500" w:type="dxa"/>
              </w:tcPr>
              <w:p w:rsidR="002E2BEC" w:rsidRDefault="00E441C4">
                <w:pPr>
                  <w:suppressLineNumbers/>
                  <w:spacing w:after="2"/>
                  <w:rPr>
                    <w:i/>
                  </w:rPr>
                </w:pPr>
                <w:r>
                  <w:rPr>
                    <w:i/>
                  </w:rPr>
                  <w:t>Sean Garballey</w:t>
                </w:r>
              </w:p>
            </w:tc>
            <w:tc>
              <w:tcPr>
                <w:tcW w:w="4500" w:type="dxa"/>
              </w:tcPr>
              <w:p w:rsidR="002E2BEC" w:rsidRDefault="00E441C4">
                <w:pPr>
                  <w:suppressLineNumbers/>
                  <w:spacing w:after="2"/>
                </w:pPr>
                <w:r>
                  <w:rPr>
                    <w:i/>
                  </w:rPr>
                  <w:t>23rd Middlesex</w:t>
                </w:r>
              </w:p>
            </w:tc>
          </w:tr>
          <w:tr w:rsidR="002E2BEC">
            <w:tc>
              <w:tcPr>
                <w:tcW w:w="4500" w:type="dxa"/>
              </w:tcPr>
              <w:p w:rsidR="002E2BEC" w:rsidRDefault="00E441C4">
                <w:pPr>
                  <w:suppressLineNumbers/>
                  <w:spacing w:after="2"/>
                  <w:rPr>
                    <w:i/>
                  </w:rPr>
                </w:pPr>
                <w:r>
                  <w:rPr>
                    <w:i/>
                  </w:rPr>
                  <w:t>Linda Dorcena Forry</w:t>
                </w:r>
              </w:p>
            </w:tc>
            <w:tc>
              <w:tcPr>
                <w:tcW w:w="4500" w:type="dxa"/>
              </w:tcPr>
              <w:p w:rsidR="002E2BEC" w:rsidRDefault="00E441C4">
                <w:pPr>
                  <w:suppressLineNumbers/>
                  <w:spacing w:after="2"/>
                </w:pPr>
                <w:r>
                  <w:rPr>
                    <w:i/>
                  </w:rPr>
                  <w:t>First Suffolk</w:t>
                </w:r>
              </w:p>
            </w:tc>
          </w:tr>
          <w:tr w:rsidR="002E2BEC">
            <w:tc>
              <w:tcPr>
                <w:tcW w:w="4500" w:type="dxa"/>
              </w:tcPr>
              <w:p w:rsidR="002E2BEC" w:rsidRDefault="00E441C4">
                <w:pPr>
                  <w:suppressLineNumbers/>
                  <w:spacing w:after="2"/>
                  <w:rPr>
                    <w:i/>
                  </w:rPr>
                </w:pPr>
                <w:r>
                  <w:rPr>
                    <w:i/>
                  </w:rPr>
                  <w:t>Daniel J. Ryan</w:t>
                </w:r>
              </w:p>
            </w:tc>
            <w:tc>
              <w:tcPr>
                <w:tcW w:w="4500" w:type="dxa"/>
              </w:tcPr>
              <w:p w:rsidR="002E2BEC" w:rsidRDefault="00E441C4">
                <w:pPr>
                  <w:suppressLineNumbers/>
                  <w:spacing w:after="2"/>
                </w:pPr>
                <w:r>
                  <w:rPr>
                    <w:i/>
                  </w:rPr>
                  <w:t>2nd Suffolk</w:t>
                </w:r>
              </w:p>
            </w:tc>
          </w:tr>
          <w:tr w:rsidR="002E2BEC">
            <w:tc>
              <w:tcPr>
                <w:tcW w:w="4500" w:type="dxa"/>
              </w:tcPr>
              <w:p w:rsidR="002E2BEC" w:rsidRDefault="00E441C4">
                <w:pPr>
                  <w:suppressLineNumbers/>
                  <w:spacing w:after="2"/>
                  <w:rPr>
                    <w:i/>
                  </w:rPr>
                </w:pPr>
                <w:r>
                  <w:rPr>
                    <w:i/>
                  </w:rPr>
                  <w:t>Thomas M. Stanley</w:t>
                </w:r>
              </w:p>
            </w:tc>
            <w:tc>
              <w:tcPr>
                <w:tcW w:w="4500" w:type="dxa"/>
              </w:tcPr>
              <w:p w:rsidR="002E2BEC" w:rsidRDefault="00E441C4">
                <w:pPr>
                  <w:suppressLineNumbers/>
                  <w:spacing w:after="2"/>
                </w:pPr>
                <w:r>
                  <w:rPr>
                    <w:i/>
                  </w:rPr>
                  <w:t>9th Middlesex</w:t>
                </w:r>
              </w:p>
            </w:tc>
          </w:tr>
          <w:tr w:rsidR="002E2BEC">
            <w:tc>
              <w:tcPr>
                <w:tcW w:w="4500" w:type="dxa"/>
              </w:tcPr>
              <w:p w:rsidR="002E2BEC" w:rsidRDefault="00E441C4">
                <w:pPr>
                  <w:suppressLineNumbers/>
                  <w:spacing w:after="2"/>
                  <w:rPr>
                    <w:i/>
                  </w:rPr>
                </w:pPr>
                <w:r>
                  <w:rPr>
                    <w:i/>
                  </w:rPr>
                  <w:t>Brian A. Joyce</w:t>
                </w:r>
              </w:p>
            </w:tc>
            <w:tc>
              <w:tcPr>
                <w:tcW w:w="4500" w:type="dxa"/>
              </w:tcPr>
              <w:p w:rsidR="002E2BEC" w:rsidRDefault="00E441C4">
                <w:pPr>
                  <w:suppressLineNumbers/>
                  <w:spacing w:after="2"/>
                </w:pPr>
                <w:r>
                  <w:rPr>
                    <w:i/>
                  </w:rPr>
                  <w:t>Norfolk, Bristol and Plymouth</w:t>
                </w:r>
              </w:p>
            </w:tc>
          </w:tr>
          <w:tr w:rsidR="002E2BEC">
            <w:tc>
              <w:tcPr>
                <w:tcW w:w="4500" w:type="dxa"/>
              </w:tcPr>
              <w:p w:rsidR="002E2BEC" w:rsidRDefault="00E441C4">
                <w:pPr>
                  <w:suppressLineNumbers/>
                  <w:spacing w:after="2"/>
                  <w:rPr>
                    <w:i/>
                  </w:rPr>
                </w:pPr>
                <w:r>
                  <w:rPr>
                    <w:i/>
                  </w:rPr>
                  <w:t>Carmine Gentile</w:t>
                </w:r>
              </w:p>
            </w:tc>
            <w:tc>
              <w:tcPr>
                <w:tcW w:w="4500" w:type="dxa"/>
              </w:tcPr>
              <w:p w:rsidR="002E2BEC" w:rsidRDefault="00E441C4">
                <w:pPr>
                  <w:suppressLineNumbers/>
                  <w:spacing w:after="2"/>
                </w:pPr>
                <w:r>
                  <w:rPr>
                    <w:i/>
                  </w:rPr>
                  <w:t>13th Middlesex</w:t>
                </w:r>
              </w:p>
            </w:tc>
          </w:tr>
          <w:tr w:rsidR="002E2BEC">
            <w:tc>
              <w:tcPr>
                <w:tcW w:w="4500" w:type="dxa"/>
              </w:tcPr>
              <w:p w:rsidR="002E2BEC" w:rsidRDefault="00E441C4">
                <w:pPr>
                  <w:suppressLineNumbers/>
                  <w:spacing w:after="2"/>
                  <w:rPr>
                    <w:i/>
                  </w:rPr>
                </w:pPr>
                <w:r>
                  <w:rPr>
                    <w:i/>
                  </w:rPr>
                  <w:t>Timothy J. Toomey, Jr.</w:t>
                </w:r>
              </w:p>
            </w:tc>
            <w:tc>
              <w:tcPr>
                <w:tcW w:w="4500" w:type="dxa"/>
              </w:tcPr>
              <w:p w:rsidR="002E2BEC" w:rsidRDefault="00E441C4">
                <w:pPr>
                  <w:suppressLineNumbers/>
                  <w:spacing w:after="2"/>
                </w:pPr>
                <w:r>
                  <w:rPr>
                    <w:i/>
                  </w:rPr>
                  <w:t>26th Middlesex</w:t>
                </w:r>
              </w:p>
            </w:tc>
          </w:tr>
          <w:tr w:rsidR="002E2BEC">
            <w:tc>
              <w:tcPr>
                <w:tcW w:w="4500" w:type="dxa"/>
              </w:tcPr>
              <w:p w:rsidR="002E2BEC" w:rsidRDefault="00E441C4">
                <w:pPr>
                  <w:suppressLineNumbers/>
                  <w:spacing w:after="2"/>
                  <w:rPr>
                    <w:i/>
                  </w:rPr>
                </w:pPr>
                <w:r>
                  <w:rPr>
                    <w:i/>
                  </w:rPr>
                  <w:t>Cory Atkins</w:t>
                </w:r>
              </w:p>
            </w:tc>
            <w:tc>
              <w:tcPr>
                <w:tcW w:w="4500" w:type="dxa"/>
              </w:tcPr>
              <w:p w:rsidR="002E2BEC" w:rsidRDefault="00E441C4">
                <w:pPr>
                  <w:suppressLineNumbers/>
                  <w:spacing w:after="2"/>
                </w:pPr>
                <w:r>
                  <w:rPr>
                    <w:i/>
                  </w:rPr>
                  <w:t>14th Middlesex</w:t>
                </w:r>
              </w:p>
            </w:tc>
          </w:tr>
          <w:tr w:rsidR="002E2BEC">
            <w:tc>
              <w:tcPr>
                <w:tcW w:w="4500" w:type="dxa"/>
              </w:tcPr>
              <w:p w:rsidR="002E2BEC" w:rsidRDefault="00E441C4">
                <w:pPr>
                  <w:suppressLineNumbers/>
                  <w:spacing w:after="2"/>
                  <w:rPr>
                    <w:i/>
                  </w:rPr>
                </w:pPr>
                <w:r>
                  <w:rPr>
                    <w:i/>
                  </w:rPr>
                  <w:t>Michael F. Rush</w:t>
                </w:r>
              </w:p>
            </w:tc>
            <w:tc>
              <w:tcPr>
                <w:tcW w:w="4500" w:type="dxa"/>
              </w:tcPr>
              <w:p w:rsidR="002E2BEC" w:rsidRDefault="00E441C4">
                <w:pPr>
                  <w:suppressLineNumbers/>
                  <w:spacing w:after="2"/>
                </w:pPr>
                <w:r>
                  <w:rPr>
                    <w:i/>
                  </w:rPr>
                  <w:t>Norfolk and Suffolk</w:t>
                </w:r>
              </w:p>
            </w:tc>
          </w:tr>
          <w:tr w:rsidR="002E2BEC">
            <w:tc>
              <w:tcPr>
                <w:tcW w:w="4500" w:type="dxa"/>
              </w:tcPr>
              <w:p w:rsidR="002E2BEC" w:rsidRDefault="00E441C4">
                <w:pPr>
                  <w:suppressLineNumbers/>
                  <w:spacing w:after="2"/>
                  <w:rPr>
                    <w:i/>
                  </w:rPr>
                </w:pPr>
                <w:r>
                  <w:rPr>
                    <w:i/>
                  </w:rPr>
                  <w:t>Danielle W. Gregoire</w:t>
                </w:r>
              </w:p>
            </w:tc>
            <w:tc>
              <w:tcPr>
                <w:tcW w:w="4500" w:type="dxa"/>
              </w:tcPr>
              <w:p w:rsidR="002E2BEC" w:rsidRDefault="00E441C4">
                <w:pPr>
                  <w:suppressLineNumbers/>
                  <w:spacing w:after="2"/>
                </w:pPr>
                <w:r>
                  <w:rPr>
                    <w:i/>
                  </w:rPr>
                  <w:t>4th Middlesex</w:t>
                </w:r>
              </w:p>
            </w:tc>
          </w:tr>
          <w:tr w:rsidR="002E2BEC">
            <w:tc>
              <w:tcPr>
                <w:tcW w:w="4500" w:type="dxa"/>
              </w:tcPr>
              <w:p w:rsidR="002E2BEC" w:rsidRDefault="00E441C4">
                <w:pPr>
                  <w:suppressLineNumbers/>
                  <w:spacing w:after="2"/>
                  <w:rPr>
                    <w:i/>
                  </w:rPr>
                </w:pPr>
                <w:r>
                  <w:rPr>
                    <w:i/>
                  </w:rPr>
                  <w:t>Brian R. Mannal</w:t>
                </w:r>
              </w:p>
            </w:tc>
            <w:tc>
              <w:tcPr>
                <w:tcW w:w="4500" w:type="dxa"/>
              </w:tcPr>
              <w:p w:rsidR="002E2BEC" w:rsidRDefault="00E441C4">
                <w:pPr>
                  <w:suppressLineNumbers/>
                  <w:spacing w:after="2"/>
                </w:pPr>
                <w:r>
                  <w:rPr>
                    <w:i/>
                  </w:rPr>
                  <w:t>2nd Barnstable</w:t>
                </w:r>
              </w:p>
            </w:tc>
          </w:tr>
          <w:tr w:rsidR="002E2BEC">
            <w:tc>
              <w:tcPr>
                <w:tcW w:w="4500" w:type="dxa"/>
              </w:tcPr>
              <w:p w:rsidR="002E2BEC" w:rsidRDefault="00E441C4">
                <w:pPr>
                  <w:suppressLineNumbers/>
                  <w:spacing w:after="2"/>
                  <w:rPr>
                    <w:i/>
                  </w:rPr>
                </w:pPr>
                <w:r>
                  <w:rPr>
                    <w:i/>
                  </w:rPr>
                  <w:t>Michelle M. DuBois</w:t>
                </w:r>
              </w:p>
            </w:tc>
            <w:tc>
              <w:tcPr>
                <w:tcW w:w="4500" w:type="dxa"/>
              </w:tcPr>
              <w:p w:rsidR="002E2BEC" w:rsidRDefault="00E441C4">
                <w:pPr>
                  <w:suppressLineNumbers/>
                  <w:spacing w:after="2"/>
                </w:pPr>
                <w:r>
                  <w:rPr>
                    <w:i/>
                  </w:rPr>
                  <w:t>10th Plymouth</w:t>
                </w:r>
              </w:p>
            </w:tc>
          </w:tr>
          <w:tr w:rsidR="002E2BEC">
            <w:tc>
              <w:tcPr>
                <w:tcW w:w="4500" w:type="dxa"/>
              </w:tcPr>
              <w:p w:rsidR="002E2BEC" w:rsidRDefault="00E441C4">
                <w:pPr>
                  <w:suppressLineNumbers/>
                  <w:spacing w:after="2"/>
                  <w:rPr>
                    <w:i/>
                  </w:rPr>
                </w:pPr>
                <w:r>
                  <w:rPr>
                    <w:i/>
                  </w:rPr>
                  <w:t>Denise Provost</w:t>
                </w:r>
              </w:p>
            </w:tc>
            <w:tc>
              <w:tcPr>
                <w:tcW w:w="4500" w:type="dxa"/>
              </w:tcPr>
              <w:p w:rsidR="002E2BEC" w:rsidRDefault="00E441C4">
                <w:pPr>
                  <w:suppressLineNumbers/>
                  <w:spacing w:after="2"/>
                </w:pPr>
                <w:r>
                  <w:rPr>
                    <w:i/>
                  </w:rPr>
                  <w:t>27th Middlesex</w:t>
                </w:r>
              </w:p>
            </w:tc>
          </w:tr>
          <w:tr w:rsidR="002E2BEC">
            <w:tc>
              <w:tcPr>
                <w:tcW w:w="4500" w:type="dxa"/>
              </w:tcPr>
              <w:p w:rsidR="002E2BEC" w:rsidRDefault="00E441C4">
                <w:pPr>
                  <w:suppressLineNumbers/>
                  <w:spacing w:after="2"/>
                  <w:rPr>
                    <w:i/>
                  </w:rPr>
                </w:pPr>
                <w:r>
                  <w:rPr>
                    <w:i/>
                  </w:rPr>
                  <w:t>Mark C. Montigny</w:t>
                </w:r>
              </w:p>
            </w:tc>
            <w:tc>
              <w:tcPr>
                <w:tcW w:w="4500" w:type="dxa"/>
              </w:tcPr>
              <w:p w:rsidR="002E2BEC" w:rsidRDefault="00E441C4">
                <w:pPr>
                  <w:suppressLineNumbers/>
                  <w:spacing w:after="2"/>
                </w:pPr>
                <w:r>
                  <w:rPr>
                    <w:i/>
                  </w:rPr>
                  <w:t>Second Bristol and Plymouth</w:t>
                </w:r>
              </w:p>
            </w:tc>
          </w:tr>
        </w:tbl>
      </w:sdtContent>
    </w:sdt>
    <w:p w:rsidR="002E2BEC" w:rsidRDefault="00E441C4">
      <w:pPr>
        <w:suppressLineNumbers/>
      </w:pPr>
      <w:r>
        <w:br w:type="page"/>
      </w:r>
    </w:p>
    <w:p w:rsidR="002E2BEC" w:rsidRDefault="00E441C4">
      <w:pPr>
        <w:suppressLineNumbers/>
        <w:spacing w:after="2"/>
        <w:jc w:val="center"/>
      </w:pPr>
      <w:r>
        <w:rPr>
          <w:rFonts w:ascii="Arial"/>
          <w:sz w:val="18"/>
        </w:rPr>
        <w:lastRenderedPageBreak/>
        <w:t>SENATE DOCKET, NO. 1021        FILED ON: 1/15/2015</w:t>
      </w:r>
    </w:p>
    <w:p w:rsidR="002E2BEC" w:rsidRDefault="00E441C4">
      <w:pPr>
        <w:suppressLineNumbers/>
        <w:spacing w:after="2"/>
        <w:jc w:val="center"/>
        <w:rPr>
          <w:b/>
          <w:sz w:val="48"/>
        </w:rPr>
      </w:pPr>
      <w:r>
        <w:rPr>
          <w:b/>
          <w:sz w:val="48"/>
        </w:rPr>
        <w:t>SENATE  .  .  .  .  .  .  .  .  .  .  .  .  .  .  No.         </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2E2BEC">
        <w:tc>
          <w:tcPr>
            <w:tcW w:w="9500" w:type="dxa"/>
          </w:tcPr>
          <w:p w:rsidR="002E2BEC" w:rsidRDefault="00E441C4">
            <w:pPr>
              <w:spacing w:after="0"/>
            </w:pPr>
            <w:r>
              <w:t>[Pin Slip]</w:t>
            </w:r>
          </w:p>
        </w:tc>
      </w:tr>
    </w:tbl>
    <w:p w:rsidR="002E2BEC" w:rsidRDefault="002E2BEC">
      <w:pPr>
        <w:suppressLineNumbers/>
        <w:spacing w:after="0"/>
      </w:pPr>
    </w:p>
    <w:p w:rsidR="002E2BEC" w:rsidRDefault="00E441C4">
      <w:pPr>
        <w:suppressLineNumbers/>
        <w:spacing w:after="0"/>
        <w:jc w:val="center"/>
      </w:pPr>
      <w:r>
        <w:rPr>
          <w:rFonts w:ascii="Old English Text MT"/>
          <w:sz w:val="32"/>
        </w:rPr>
        <w:t>The Commonwealth of Massachusetts</w:t>
      </w:r>
    </w:p>
    <w:p w:rsidR="002E2BEC" w:rsidRDefault="002E2BEC">
      <w:pPr>
        <w:suppressLineNumbers/>
        <w:spacing w:after="0"/>
      </w:pPr>
    </w:p>
    <w:p w:rsidR="002E2BEC" w:rsidRDefault="00E441C4">
      <w:pPr>
        <w:suppressLineNumbers/>
        <w:spacing w:after="0"/>
        <w:jc w:val="center"/>
      </w:pPr>
      <w:r>
        <w:rPr>
          <w:b/>
          <w:vertAlign w:val="superscript"/>
        </w:rPr>
        <w:t>_______________</w:t>
      </w:r>
    </w:p>
    <w:p w:rsidR="002E2BEC" w:rsidRDefault="00E441C4">
      <w:pPr>
        <w:suppressLineNumbers/>
        <w:spacing w:after="0"/>
        <w:jc w:val="center"/>
      </w:pPr>
      <w:r>
        <w:rPr>
          <w:b/>
          <w:sz w:val="18"/>
        </w:rPr>
        <w:t xml:space="preserve">In the One </w:t>
      </w:r>
      <w:r>
        <w:rPr>
          <w:b/>
          <w:sz w:val="18"/>
        </w:rPr>
        <w:t>Hundred and Eighty-Ninth General Court</w:t>
      </w:r>
      <w:r>
        <w:rPr>
          <w:b/>
          <w:sz w:val="18"/>
        </w:rPr>
        <w:br/>
        <w:t>(2015-2016)</w:t>
      </w:r>
    </w:p>
    <w:p w:rsidR="002E2BEC" w:rsidRDefault="00E441C4">
      <w:pPr>
        <w:suppressLineNumbers/>
        <w:spacing w:after="0"/>
        <w:jc w:val="center"/>
      </w:pPr>
      <w:r>
        <w:rPr>
          <w:b/>
          <w:vertAlign w:val="superscript"/>
        </w:rPr>
        <w:t>_______________</w:t>
      </w:r>
    </w:p>
    <w:p w:rsidR="002E2BEC" w:rsidRDefault="002E2BEC">
      <w:pPr>
        <w:suppressLineNumbers/>
        <w:spacing w:after="0"/>
      </w:pPr>
    </w:p>
    <w:p w:rsidR="002E2BEC" w:rsidRDefault="00E441C4">
      <w:pPr>
        <w:suppressLineNumbers/>
        <w:spacing w:after="2"/>
      </w:pPr>
      <w:r>
        <w:t>An Act to protect access to confidential healthcare.</w:t>
      </w:r>
    </w:p>
    <w:p w:rsidR="002E2BEC" w:rsidRDefault="002E2BEC">
      <w:pPr>
        <w:suppressLineNumbers/>
        <w:spacing w:after="0"/>
      </w:pPr>
    </w:p>
    <w:p w:rsidR="002E2BEC" w:rsidRDefault="00E441C4">
      <w:pPr>
        <w:suppressLineNumbers/>
        <w:spacing w:after="0"/>
      </w:pPr>
      <w:r>
        <w:rPr>
          <w:i/>
          <w:sz w:val="20"/>
        </w:rPr>
        <w:tab/>
        <w:t>Be it enacted by the Senate and House of Representatives in General Court assembled, and by the authority of the same, as follows:</w:t>
      </w:r>
      <w:r>
        <w:br/>
      </w:r>
    </w:p>
    <w:p w:rsidR="002E2BEC" w:rsidRDefault="00E441C4">
      <w:pPr>
        <w:spacing w:line="480" w:lineRule="auto"/>
      </w:pPr>
      <w:r>
        <w:tab/>
      </w:r>
      <w:r>
        <w:t xml:space="preserve">SECTION 1.  </w:t>
      </w:r>
    </w:p>
    <w:p w:rsidR="002E2BEC" w:rsidRDefault="00E441C4">
      <w:pPr>
        <w:spacing w:line="480" w:lineRule="auto"/>
      </w:pPr>
      <w:r>
        <w:tab/>
        <w:t>Chapter 176O of the General Laws is hereby amended by striking out section 27 and inserting in place thereof the following:-</w:t>
      </w:r>
    </w:p>
    <w:p w:rsidR="002E2BEC" w:rsidRDefault="00E441C4">
      <w:pPr>
        <w:spacing w:line="480" w:lineRule="auto"/>
      </w:pPr>
      <w:r>
        <w:tab/>
        <w:t>Section 27. (a) The division shall develop a common summary of payments form to be used by all carriers in the commo</w:t>
      </w:r>
      <w:r>
        <w:t>nwealth that is provided to health care consumers with respect to provider claims submitted to a payer and written in an easily readable and understandable format showing the consumer’s responsibility, if any, for payment of any portion of a health care pr</w:t>
      </w:r>
      <w:r>
        <w:t>ovider claim; provided that the division shall allow the development of forms to be exchanged through electronic means; and further provided that carriers shall not be obligated to issue a summary of payments form for provider claims that consist solely of</w:t>
      </w:r>
      <w:r>
        <w:t xml:space="preserve"> requests for co-payment. The division shall consult with stakeholders to develop these forms.</w:t>
      </w:r>
    </w:p>
    <w:p w:rsidR="002E2BEC" w:rsidRDefault="00E441C4">
      <w:pPr>
        <w:spacing w:line="480" w:lineRule="auto"/>
      </w:pPr>
      <w:r>
        <w:tab/>
        <w:t>(b) Carriers shall issue common summary of payments forms at the member level for all insureds. Carriers shall permit an insured who is legally authorized to co</w:t>
      </w:r>
      <w:r>
        <w:t xml:space="preserve">nsent to care, or a party </w:t>
      </w:r>
      <w:r>
        <w:lastRenderedPageBreak/>
        <w:t xml:space="preserve">legally authorized to consent to care for the insured, to choose his or her preferred method of receiving the common summary of payments form, which shall include, but not be limited to, the following: (1) sending the form to the </w:t>
      </w:r>
      <w:r>
        <w:t>address of the subscriber; (2) sending the form to the address of the insured dependent; (3) sending the form to an alternate address upon request of the insured; or (4) sending the form through electronic means when available. The preferred method of rece</w:t>
      </w:r>
      <w:r>
        <w:t xml:space="preserve">ipt shall be valid until the insured submits a new preferred method. </w:t>
      </w:r>
    </w:p>
    <w:p w:rsidR="002E2BEC" w:rsidRDefault="00E441C4">
      <w:pPr>
        <w:spacing w:line="480" w:lineRule="auto"/>
      </w:pPr>
      <w:r>
        <w:tab/>
        <w:t>(c) Unless specifically requested by the insured, a carrier shall not provide a common summary of payments form if the insured has no liability for payment for any procedure or service,</w:t>
      </w:r>
      <w:r>
        <w:t xml:space="preserve"> including, but not limited to, the United States Preventive Services Taskforce recommended A and B preventive services.</w:t>
      </w:r>
    </w:p>
    <w:p w:rsidR="002E2BEC" w:rsidRDefault="00E441C4">
      <w:pPr>
        <w:spacing w:line="480" w:lineRule="auto"/>
      </w:pPr>
      <w:r>
        <w:tab/>
        <w:t>(d) Carriers shall not identify the descriptions for sensitive health care services in a common summary of payments form. The division</w:t>
      </w:r>
      <w:r>
        <w:t xml:space="preserve"> shall define by regulation sensitive health care services for purposes of this section. The division shall refer to the National Committee on Vital and Health Statistics and similar regulations in other states, and shall consult with experts in fields inc</w:t>
      </w:r>
      <w:r>
        <w:t>luding, but not limited to, infectious disease, reproductive and sexual health, domestic violence and sexual assault, and mental health and substance use disorders, in promulgating the regulation.</w:t>
      </w:r>
    </w:p>
    <w:p w:rsidR="002E2BEC" w:rsidRDefault="00E441C4">
      <w:pPr>
        <w:spacing w:line="480" w:lineRule="auto"/>
      </w:pPr>
      <w:r>
        <w:tab/>
        <w:t>(e) Carriers shall permit all insureds who are legally aut</w:t>
      </w:r>
      <w:r>
        <w:t>horized to consent to care, or parties legally authorized to consent to care for the insured, to request suppression of summary of payments forms, in which case summary of payments forms shall not be issued unless and until the insured submits a revocation</w:t>
      </w:r>
      <w:r>
        <w:t xml:space="preserve"> of the request; provided that the insured clearly states orally or in writing that the communication of medical or provider information on the form discloses the </w:t>
      </w:r>
      <w:r>
        <w:lastRenderedPageBreak/>
        <w:t>receipt of sensitive services that could endanger the insured or limit access to future healt</w:t>
      </w:r>
      <w:r>
        <w:t xml:space="preserve">h services. Carriers shall not require an explanation as to the basis for an insured’s confidential communications request, unless otherwise required by law or court order. </w:t>
      </w:r>
    </w:p>
    <w:p w:rsidR="002E2BEC" w:rsidRDefault="00E441C4">
      <w:pPr>
        <w:spacing w:line="480" w:lineRule="auto"/>
      </w:pPr>
      <w:r>
        <w:tab/>
        <w:t>(f) The right to request suppression of summary of payments forms pursuant to sub</w:t>
      </w:r>
      <w:r>
        <w:t xml:space="preserve">section (e) shall be communicated in plain language and in a clear and conspicuous manner to all insureds, including insured dependents, in evidence of coverage documents, member privacy communications and on every summary of payments form.  </w:t>
      </w:r>
    </w:p>
    <w:p w:rsidR="002E2BEC" w:rsidRDefault="00E441C4">
      <w:pPr>
        <w:spacing w:line="480" w:lineRule="auto"/>
      </w:pPr>
      <w:r>
        <w:tab/>
      </w:r>
      <w:r>
        <w:t>(g) The division shall promulgate regulations necessary to implement and enforce this section, which shall include reasonable reporting regarding compliance and breaches of confidentiality.</w:t>
      </w:r>
    </w:p>
    <w:p w:rsidR="002E2BEC" w:rsidRDefault="00E441C4">
      <w:pPr>
        <w:spacing w:line="480" w:lineRule="auto"/>
      </w:pPr>
      <w:r>
        <w:tab/>
        <w:t xml:space="preserve">(h) The division, in collaboration with the department of public </w:t>
      </w:r>
      <w:r>
        <w:t>health, shall develop and implement a plan to educate providers and consumers regarding the rights of insureds to promote compliance with this section. The plan shall include, but not be limited to, staff training and other education for hospitals, communi</w:t>
      </w:r>
      <w:r>
        <w:t>ty health centers, school-based health centers, physicians, nurses and other licensed health care professionals, as well as administrative staff, which shall include all staff involved in patient registration and education about confidentiality, and billin</w:t>
      </w:r>
      <w:r>
        <w:t>g staff involved in processing of insurance claims.  The plan shall be developed in consultation with groups representing health care insurers, providers, and consumers, including consumer organizations concerned with the provision of sensitive health serv</w:t>
      </w:r>
      <w:r>
        <w:t>ices.</w:t>
      </w:r>
    </w:p>
    <w:p w:rsidR="002E2BEC" w:rsidRDefault="00E441C4">
      <w:pPr>
        <w:spacing w:line="480" w:lineRule="auto"/>
      </w:pPr>
      <w:r>
        <w:tab/>
        <w:t xml:space="preserve">SECTION 2. Subsections (a), (g), and (h) of Chapter 176O shall take effect 6 months from the effective date of this act. </w:t>
      </w:r>
    </w:p>
    <w:p w:rsidR="002E2BEC" w:rsidRDefault="00E441C4">
      <w:pPr>
        <w:spacing w:line="480" w:lineRule="auto"/>
      </w:pPr>
      <w:r>
        <w:lastRenderedPageBreak/>
        <w:tab/>
        <w:t xml:space="preserve">Subsections (b)-(f) of Section 27 of Chapter 176O shall take effect at such time as each carrier revises its plans subsequent </w:t>
      </w:r>
      <w:r>
        <w:t>to the promulgation of the regulations described in subsection (g).</w:t>
      </w:r>
    </w:p>
    <w:sectPr w:rsidR="002E2BEC" w:rsidSect="00C57F77">
      <w:footerReference w:type="default" r:id="rId11"/>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41C4">
      <w:pPr>
        <w:spacing w:after="0" w:line="240" w:lineRule="auto"/>
      </w:pPr>
      <w:r>
        <w:separator/>
      </w:r>
    </w:p>
  </w:endnote>
  <w:endnote w:type="continuationSeparator" w:id="0">
    <w:p w:rsidR="00000000" w:rsidRDefault="00E4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D9" w:rsidRDefault="00E441C4" w:rsidP="00F313D9">
    <w:pPr>
      <w:jc w:val="center"/>
    </w:pP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41C4">
      <w:pPr>
        <w:spacing w:after="0" w:line="240" w:lineRule="auto"/>
      </w:pPr>
      <w:r>
        <w:separator/>
      </w:r>
    </w:p>
  </w:footnote>
  <w:footnote w:type="continuationSeparator" w:id="0">
    <w:p w:rsidR="00000000" w:rsidRDefault="00E44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8C"/>
    <w:rsid w:val="001F22F1"/>
    <w:rsid w:val="002507E7"/>
    <w:rsid w:val="002E2BEC"/>
    <w:rsid w:val="002F70E8"/>
    <w:rsid w:val="003F483C"/>
    <w:rsid w:val="004F1BC6"/>
    <w:rsid w:val="00840086"/>
    <w:rsid w:val="008C7F7F"/>
    <w:rsid w:val="00AC4313"/>
    <w:rsid w:val="00C56B1A"/>
    <w:rsid w:val="00D2418C"/>
    <w:rsid w:val="00DD5F18"/>
    <w:rsid w:val="00E4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CC30E5-C021-4A68-A5B2-3933C481E9F4}">
  <ds:schemaRefs>
    <ds:schemaRef ds:uri="http://schemas.microsoft.com/sharepoint/v3/contenttype/forms"/>
  </ds:schemaRefs>
</ds:datastoreItem>
</file>

<file path=customXml/itemProps2.xml><?xml version="1.0" encoding="utf-8"?>
<ds:datastoreItem xmlns:ds="http://schemas.openxmlformats.org/officeDocument/2006/customXml" ds:itemID="{892F919D-CCB5-4AD1-9CF6-86C1085E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B9FA99-AE0E-4520-B045-976FC4B24E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6134</Characters>
  <Application>Microsoft Office Word</Application>
  <DocSecurity>4</DocSecurity>
  <Lines>51</Lines>
  <Paragraphs>14</Paragraphs>
  <ScaleCrop>false</ScaleCrop>
  <Company>MA Legislature</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Landry, AnneJohnson (SEN)</cp:lastModifiedBy>
  <cp:revision>2</cp:revision>
  <dcterms:created xsi:type="dcterms:W3CDTF">2015-02-06T20:10:00Z</dcterms:created>
  <dcterms:modified xsi:type="dcterms:W3CDTF">2015-02-06T20:10:00Z</dcterms:modified>
</cp:coreProperties>
</file>